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59B1B7">
      <w:pPr>
        <w:spacing w:before="156" w:beforeLines="50" w:after="156" w:afterLines="50" w:line="500" w:lineRule="exact"/>
        <w:jc w:val="center"/>
        <w:rPr>
          <w:rFonts w:hint="eastAsia" w:ascii="等线" w:hAnsi="等线" w:eastAsia="华文中宋" w:cs="华文中宋"/>
          <w:b/>
          <w:bCs/>
          <w:sz w:val="36"/>
          <w:szCs w:val="36"/>
        </w:rPr>
      </w:pPr>
      <w:bookmarkStart w:id="0" w:name="zhengwen"/>
      <w:r>
        <w:rPr>
          <w:rFonts w:hint="eastAsia" w:ascii="等线" w:hAnsi="等线" w:eastAsia="华文中宋" w:cs="华文中宋"/>
          <w:b/>
          <w:bCs/>
          <w:sz w:val="36"/>
          <w:szCs w:val="36"/>
        </w:rPr>
        <w:t>怀化职业技术学院2025年高职单招章程</w:t>
      </w:r>
    </w:p>
    <w:p w14:paraId="660388E7">
      <w:pPr>
        <w:numPr>
          <w:ilvl w:val="0"/>
          <w:numId w:val="1"/>
        </w:numPr>
        <w:spacing w:before="312" w:beforeLines="10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总 则</w:t>
      </w:r>
    </w:p>
    <w:p w14:paraId="30A7F470">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根据《中华人民共和国教育法》《中华人民共和国高等教育法》等法律法规及教育部有关规定，依据湖南省教育厅《关于做好湖南省2025年高职（高专）院校单独招生工作的通知》（湘教通〔2024〕271号）有关要求，结合学校单独招生工作（以下简称单招）实际，特制定本章程。</w:t>
      </w:r>
    </w:p>
    <w:p w14:paraId="36594375">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学校全称：怀化职业技术学院</w:t>
      </w:r>
    </w:p>
    <w:p w14:paraId="197DA005">
      <w:pPr>
        <w:widowControl/>
        <w:ind w:firstLine="560" w:firstLineChars="200"/>
        <w:jc w:val="left"/>
      </w:pPr>
      <w:r>
        <w:rPr>
          <w:rFonts w:hint="eastAsia" w:ascii="等线" w:hAnsi="等线" w:eastAsia="仿宋" w:cs="仿宋"/>
          <w:sz w:val="28"/>
          <w:szCs w:val="28"/>
        </w:rPr>
        <w:t>办学地点：</w:t>
      </w:r>
      <w:r>
        <w:rPr>
          <w:rFonts w:ascii="仿宋" w:hAnsi="仿宋" w:eastAsia="仿宋" w:cs="仿宋"/>
          <w:kern w:val="0"/>
          <w:sz w:val="31"/>
          <w:szCs w:val="31"/>
          <w:lang w:bidi="ar"/>
        </w:rPr>
        <w:t>湖南省怀化国际陆港经济开发区</w:t>
      </w:r>
      <w:r>
        <w:rPr>
          <w:kern w:val="0"/>
          <w:sz w:val="31"/>
          <w:szCs w:val="31"/>
          <w:lang w:bidi="ar"/>
        </w:rPr>
        <w:t xml:space="preserve">209 </w:t>
      </w:r>
      <w:r>
        <w:rPr>
          <w:rFonts w:hint="eastAsia" w:ascii="仿宋" w:hAnsi="仿宋" w:eastAsia="仿宋" w:cs="仿宋"/>
          <w:kern w:val="0"/>
          <w:sz w:val="31"/>
          <w:szCs w:val="31"/>
          <w:lang w:bidi="ar"/>
        </w:rPr>
        <w:t>国道与天星西路交汇处。</w:t>
      </w:r>
    </w:p>
    <w:p w14:paraId="0370A25B">
      <w:pPr>
        <w:widowControl/>
        <w:ind w:firstLine="560" w:firstLineChars="200"/>
        <w:jc w:val="left"/>
        <w:rPr>
          <w:rFonts w:hint="eastAsia" w:ascii="仿宋" w:hAnsi="仿宋" w:eastAsia="仿宋" w:cs="仿宋"/>
          <w:kern w:val="0"/>
          <w:sz w:val="31"/>
          <w:szCs w:val="31"/>
          <w:lang w:bidi="ar"/>
        </w:rPr>
      </w:pPr>
      <w:r>
        <w:rPr>
          <w:rFonts w:hint="eastAsia" w:ascii="等线" w:hAnsi="等线" w:eastAsia="仿宋" w:cs="仿宋"/>
          <w:sz w:val="28"/>
          <w:szCs w:val="28"/>
        </w:rPr>
        <w:t>主管部门：</w:t>
      </w:r>
      <w:r>
        <w:rPr>
          <w:rFonts w:ascii="仿宋" w:hAnsi="仿宋" w:eastAsia="仿宋" w:cs="仿宋"/>
          <w:kern w:val="0"/>
          <w:sz w:val="31"/>
          <w:szCs w:val="31"/>
          <w:lang w:bidi="ar"/>
        </w:rPr>
        <w:t>湖南省教育厅</w:t>
      </w:r>
    </w:p>
    <w:p w14:paraId="13113BED">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办学层次：高职（专科）</w:t>
      </w:r>
    </w:p>
    <w:p w14:paraId="1734B5C9">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湖南省院校代号：4705</w:t>
      </w:r>
    </w:p>
    <w:p w14:paraId="5C2EACD2">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办学类型：公办</w:t>
      </w:r>
    </w:p>
    <w:p w14:paraId="05A8D51A">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颁发学历证书的学校名称：怀化职业技术学院。证书种类：普通高等学校全日制专科毕业证书。</w:t>
      </w:r>
    </w:p>
    <w:p w14:paraId="3903EDA2">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学校单招工作遵循“公平竞争、公正选拔、公开透明”的原则，坚决执行招生政策规定和纪律要求，严格实施考试招生“阳光工程”。</w:t>
      </w:r>
    </w:p>
    <w:p w14:paraId="66C0399D">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学校简介：怀化职业技术学院始建于1939年，是杂交水稻发源地、教育部人才培养水平评估优秀院校、湖南省示范性(骨干)高职院校、湖南省楚怡高水平高职学校建设单位、湖南省“楚怡工匠计划”首批本科试点高校、湖南省创新创业示范基地、湖南省文明高校。著名科学家、“共和国勋章” 获得者、中国工程院院士袁隆平在校工作和生活37年，曾长期担任名誉院长。学校现有9个学院（部），开办32个专业，现有学生1.2万余人。</w:t>
      </w:r>
    </w:p>
    <w:p w14:paraId="776F2D19">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组织机构及职责</w:t>
      </w:r>
    </w:p>
    <w:p w14:paraId="7F221BF4">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 xml:space="preserve"> 怀化职业技术学院招生工作领导小组负责研究决定本校单招规模确定、政策制订等重大事项，学校招生就业处负责单招组织实施的日常工作，学校教务处负责单招的考试组织工作。</w:t>
      </w:r>
    </w:p>
    <w:p w14:paraId="5A9753DA">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学校纪委负责全程监督检查单招工作。</w:t>
      </w:r>
    </w:p>
    <w:p w14:paraId="7A78C7E8">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单招报考</w:t>
      </w:r>
    </w:p>
    <w:p w14:paraId="0699F6D6">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符合我省2025年普通高考（含对口招生考试）报名条件并已参加高考报名的人员。</w:t>
      </w:r>
    </w:p>
    <w:p w14:paraId="5B9F246A">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全省单招统一报考和填报志愿时间为2025年2月18日8:00－2月25日17:00，实行网上报考和填报志愿。单招报考设第一志愿和第二志愿，考生可选择1－2所院校在指定网上平台进行报考。</w:t>
      </w:r>
    </w:p>
    <w:p w14:paraId="0344EAF3">
      <w:pPr>
        <w:spacing w:line="6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在此期间，考生可登录湖南省普通高校招生考试考生综合信息平台（以下简称“考生综合信息平台”）（网址：https://ks.hneao.cn）或“潇湘高考”APP（通过苹果应用商店、腾讯应用宝、华为应用商店、小米应用商店或“湖南省普通高校招生考试考生综合信息平台”首页下载APP）填报报考志愿信息</w:t>
      </w:r>
      <w:r>
        <w:rPr>
          <w:rFonts w:hint="eastAsia" w:ascii="仿宋" w:hAnsi="仿宋" w:eastAsia="仿宋" w:cs="仿宋"/>
          <w:sz w:val="28"/>
          <w:szCs w:val="28"/>
        </w:rPr>
        <w:t>。</w:t>
      </w:r>
      <w:r>
        <w:rPr>
          <w:rFonts w:hint="eastAsia" w:ascii="等线" w:hAnsi="等线" w:eastAsia="仿宋" w:cs="仿宋"/>
          <w:sz w:val="28"/>
          <w:szCs w:val="28"/>
        </w:rPr>
        <w:t>请考生在报考前关注本院网站（http://zs.hhvtc.com.cn/）公布的有关信息。</w:t>
      </w:r>
    </w:p>
    <w:p w14:paraId="05F62A19">
      <w:pPr>
        <w:spacing w:line="6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第十条</w:t>
      </w:r>
      <w:r>
        <w:rPr>
          <w:rFonts w:hint="eastAsia" w:ascii="等线" w:hAnsi="等线" w:eastAsia="仿宋" w:cs="仿宋"/>
          <w:sz w:val="28"/>
          <w:szCs w:val="28"/>
        </w:rPr>
        <w:t xml:space="preserve"> 填报专业要求。我校实行专业组志愿，考生在填报我校志愿时，需选择一个专业组，专业组最多可填六个专业，并确定是否选择专业服从调剂。</w:t>
      </w:r>
    </w:p>
    <w:p w14:paraId="4FB9AEF1">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 xml:space="preserve">第十一条 </w:t>
      </w:r>
      <w:r>
        <w:rPr>
          <w:rFonts w:hint="eastAsia" w:ascii="等线" w:hAnsi="等线" w:eastAsia="仿宋" w:cs="仿宋"/>
          <w:sz w:val="28"/>
          <w:szCs w:val="28"/>
        </w:rPr>
        <w:t>退役军人身份认定。退役军人由户籍所在县（市、区）退役军人事务部门进行认定。相关证明材料由考生在规定时间内提供给我校审核，不能按要求提供证明材料的考生只能以普通高中往届生或同等学力人员身份报考，提供虚假证明材料的将依据教育部相关规定取消高考报名资格，已录取的取消录取资格。</w:t>
      </w:r>
    </w:p>
    <w:p w14:paraId="21792451">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1.退役军人考生资格证明材料。所有退役军人考生均须提供本人身份证复印件及《湖南省2025年高职单招报名身份审核（界定）表》，同时提供退出现役证（转业证）。</w:t>
      </w:r>
    </w:p>
    <w:p w14:paraId="3F72FAA3">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2.材料提交时间及方式。考生须在2025年2月</w:t>
      </w:r>
      <w:r>
        <w:rPr>
          <w:rFonts w:hint="eastAsia" w:ascii="等线" w:hAnsi="等线" w:eastAsia="仿宋" w:cs="仿宋"/>
          <w:sz w:val="28"/>
          <w:szCs w:val="28"/>
          <w:lang w:val="en-US" w:eastAsia="zh-CN"/>
        </w:rPr>
        <w:t>22</w:t>
      </w:r>
      <w:r>
        <w:rPr>
          <w:rFonts w:hint="eastAsia" w:ascii="等线" w:hAnsi="等线" w:eastAsia="仿宋" w:cs="仿宋"/>
          <w:sz w:val="28"/>
          <w:szCs w:val="28"/>
        </w:rPr>
        <w:t>日</w:t>
      </w:r>
      <w:r>
        <w:rPr>
          <w:rFonts w:hint="eastAsia" w:ascii="等线" w:hAnsi="等线" w:eastAsia="仿宋" w:cs="仿宋"/>
          <w:sz w:val="28"/>
          <w:szCs w:val="28"/>
          <w:lang w:val="en-US" w:eastAsia="zh-CN"/>
        </w:rPr>
        <w:t>8：00</w:t>
      </w:r>
      <w:bookmarkStart w:id="1" w:name="_GoBack"/>
      <w:bookmarkEnd w:id="1"/>
      <w:r>
        <w:rPr>
          <w:rFonts w:hint="eastAsia" w:ascii="等线" w:hAnsi="等线" w:eastAsia="仿宋" w:cs="仿宋"/>
          <w:sz w:val="28"/>
          <w:szCs w:val="28"/>
        </w:rPr>
        <w:t>前（电子邮件送达时间）将符合上述要求的证明材料扫描件，通过邮箱hhzyzsc@126.com交由我校招生就业处审核。</w:t>
      </w:r>
    </w:p>
    <w:p w14:paraId="3906166F">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单招计划及专业</w:t>
      </w:r>
    </w:p>
    <w:p w14:paraId="39976449">
      <w:pPr>
        <w:widowControl/>
        <w:numPr>
          <w:ilvl w:val="0"/>
          <w:numId w:val="3"/>
        </w:numPr>
        <w:spacing w:line="500" w:lineRule="exact"/>
        <w:ind w:firstLine="560" w:firstLineChars="200"/>
        <w:jc w:val="left"/>
        <w:rPr>
          <w:rFonts w:hint="eastAsia" w:ascii="等线" w:hAnsi="等线" w:eastAsia="仿宋" w:cs="仿宋"/>
          <w:sz w:val="28"/>
          <w:szCs w:val="28"/>
        </w:rPr>
      </w:pPr>
      <w:r>
        <w:rPr>
          <w:rFonts w:hint="eastAsia" w:ascii="等线" w:hAnsi="等线" w:eastAsia="仿宋" w:cs="仿宋"/>
          <w:sz w:val="28"/>
          <w:szCs w:val="28"/>
        </w:rPr>
        <w:t>我校2025年单招总计划数为 2000人，其中包含单列计划的退役军人2人。本校2025年单招招生专业</w:t>
      </w:r>
      <w:r>
        <w:rPr>
          <w:rFonts w:hint="eastAsia" w:ascii="等线" w:hAnsi="等线" w:eastAsia="仿宋" w:cs="仿宋"/>
          <w:sz w:val="28"/>
          <w:szCs w:val="28"/>
          <w:lang w:val="en-US" w:eastAsia="zh-CN"/>
        </w:rPr>
        <w:t>及</w:t>
      </w:r>
      <w:r>
        <w:rPr>
          <w:rFonts w:hint="eastAsia" w:ascii="等线" w:hAnsi="等线" w:eastAsia="仿宋" w:cs="仿宋"/>
          <w:sz w:val="28"/>
          <w:szCs w:val="28"/>
        </w:rPr>
        <w:t>分专业单招计划</w:t>
      </w:r>
      <w:r>
        <w:rPr>
          <w:rFonts w:hint="eastAsia" w:ascii="等线" w:hAnsi="等线" w:eastAsia="仿宋" w:cs="仿宋"/>
          <w:sz w:val="28"/>
          <w:szCs w:val="28"/>
          <w:lang w:val="en-US" w:eastAsia="zh-CN"/>
        </w:rPr>
        <w:t>以湖南省教育考试院公布为准</w:t>
      </w:r>
      <w:r>
        <w:rPr>
          <w:rFonts w:hint="eastAsia" w:ascii="等线" w:hAnsi="等线" w:eastAsia="仿宋" w:cs="仿宋"/>
          <w:sz w:val="28"/>
          <w:szCs w:val="28"/>
        </w:rPr>
        <w:t>，各专业最终学费标准以2025年湖南省物价主管部门审核为准。</w:t>
      </w:r>
    </w:p>
    <w:tbl>
      <w:tblPr>
        <w:tblStyle w:val="11"/>
        <w:tblW w:w="9096" w:type="dxa"/>
        <w:jc w:val="center"/>
        <w:tblLayout w:type="autofit"/>
        <w:tblCellMar>
          <w:top w:w="0" w:type="dxa"/>
          <w:left w:w="108" w:type="dxa"/>
          <w:bottom w:w="0" w:type="dxa"/>
          <w:right w:w="108" w:type="dxa"/>
        </w:tblCellMar>
      </w:tblPr>
      <w:tblGrid>
        <w:gridCol w:w="1336"/>
        <w:gridCol w:w="3340"/>
        <w:gridCol w:w="700"/>
        <w:gridCol w:w="1180"/>
        <w:gridCol w:w="2540"/>
      </w:tblGrid>
      <w:tr w14:paraId="0A4E94B8">
        <w:tblPrEx>
          <w:tblCellMar>
            <w:top w:w="0" w:type="dxa"/>
            <w:left w:w="108" w:type="dxa"/>
            <w:bottom w:w="0" w:type="dxa"/>
            <w:right w:w="108" w:type="dxa"/>
          </w:tblCellMar>
        </w:tblPrEx>
        <w:trPr>
          <w:trHeight w:val="312" w:hRule="atLeast"/>
          <w:jc w:val="center"/>
        </w:trPr>
        <w:tc>
          <w:tcPr>
            <w:tcW w:w="13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0C96A8">
            <w:r>
              <w:rPr>
                <w:rFonts w:hint="eastAsia"/>
              </w:rPr>
              <w:t>分组</w:t>
            </w:r>
          </w:p>
        </w:tc>
        <w:tc>
          <w:tcPr>
            <w:tcW w:w="3340" w:type="dxa"/>
            <w:tcBorders>
              <w:top w:val="single" w:color="auto" w:sz="4" w:space="0"/>
              <w:left w:val="nil"/>
              <w:bottom w:val="single" w:color="auto" w:sz="4" w:space="0"/>
              <w:right w:val="single" w:color="auto" w:sz="4" w:space="0"/>
            </w:tcBorders>
            <w:shd w:val="clear" w:color="auto" w:fill="auto"/>
            <w:vAlign w:val="center"/>
          </w:tcPr>
          <w:p w14:paraId="1BFC6ADF">
            <w:r>
              <w:rPr>
                <w:rFonts w:hint="eastAsia"/>
              </w:rPr>
              <w:t>专业名称</w:t>
            </w:r>
          </w:p>
        </w:tc>
        <w:tc>
          <w:tcPr>
            <w:tcW w:w="700" w:type="dxa"/>
            <w:tcBorders>
              <w:top w:val="single" w:color="auto" w:sz="4" w:space="0"/>
              <w:left w:val="nil"/>
              <w:bottom w:val="single" w:color="auto" w:sz="4" w:space="0"/>
              <w:right w:val="single" w:color="auto" w:sz="4" w:space="0"/>
            </w:tcBorders>
            <w:shd w:val="clear" w:color="auto" w:fill="auto"/>
            <w:vAlign w:val="center"/>
          </w:tcPr>
          <w:p w14:paraId="3D9CBD8F">
            <w:r>
              <w:rPr>
                <w:rFonts w:hint="eastAsia"/>
              </w:rPr>
              <w:t>学费</w:t>
            </w:r>
          </w:p>
        </w:tc>
        <w:tc>
          <w:tcPr>
            <w:tcW w:w="1180" w:type="dxa"/>
            <w:tcBorders>
              <w:top w:val="single" w:color="auto" w:sz="4" w:space="0"/>
              <w:left w:val="nil"/>
              <w:bottom w:val="single" w:color="auto" w:sz="4" w:space="0"/>
              <w:right w:val="single" w:color="auto" w:sz="4" w:space="0"/>
            </w:tcBorders>
            <w:shd w:val="clear" w:color="auto" w:fill="auto"/>
            <w:vAlign w:val="center"/>
          </w:tcPr>
          <w:p w14:paraId="4120FAE7">
            <w:r>
              <w:rPr>
                <w:rFonts w:hint="eastAsia"/>
              </w:rPr>
              <w:t>单招计划</w:t>
            </w:r>
          </w:p>
        </w:tc>
        <w:tc>
          <w:tcPr>
            <w:tcW w:w="2540" w:type="dxa"/>
            <w:tcBorders>
              <w:top w:val="single" w:color="auto" w:sz="4" w:space="0"/>
              <w:left w:val="nil"/>
              <w:bottom w:val="single" w:color="auto" w:sz="4" w:space="0"/>
              <w:right w:val="single" w:color="auto" w:sz="4" w:space="0"/>
            </w:tcBorders>
            <w:shd w:val="clear" w:color="auto" w:fill="auto"/>
            <w:vAlign w:val="center"/>
          </w:tcPr>
          <w:p w14:paraId="29465599">
            <w:r>
              <w:rPr>
                <w:rFonts w:hint="eastAsia"/>
              </w:rPr>
              <w:t>备注</w:t>
            </w:r>
          </w:p>
        </w:tc>
      </w:tr>
      <w:tr w14:paraId="226D1BEF">
        <w:tblPrEx>
          <w:tblCellMar>
            <w:top w:w="0" w:type="dxa"/>
            <w:left w:w="108" w:type="dxa"/>
            <w:bottom w:w="0" w:type="dxa"/>
            <w:right w:w="108" w:type="dxa"/>
          </w:tblCellMar>
        </w:tblPrEx>
        <w:trPr>
          <w:trHeight w:val="312" w:hRule="atLeast"/>
          <w:jc w:val="center"/>
        </w:trPr>
        <w:tc>
          <w:tcPr>
            <w:tcW w:w="1336" w:type="dxa"/>
            <w:vMerge w:val="restart"/>
            <w:tcBorders>
              <w:top w:val="nil"/>
              <w:left w:val="single" w:color="auto" w:sz="4" w:space="0"/>
              <w:bottom w:val="single" w:color="auto" w:sz="4" w:space="0"/>
              <w:right w:val="single" w:color="auto" w:sz="4" w:space="0"/>
            </w:tcBorders>
            <w:shd w:val="clear" w:color="auto" w:fill="auto"/>
            <w:noWrap/>
            <w:vAlign w:val="center"/>
          </w:tcPr>
          <w:p w14:paraId="03AC0AEC">
            <w:r>
              <w:rPr>
                <w:rFonts w:hint="eastAsia"/>
              </w:rPr>
              <w:t>专业分组A</w:t>
            </w:r>
          </w:p>
        </w:tc>
        <w:tc>
          <w:tcPr>
            <w:tcW w:w="3340" w:type="dxa"/>
            <w:tcBorders>
              <w:top w:val="nil"/>
              <w:left w:val="nil"/>
              <w:bottom w:val="single" w:color="auto" w:sz="4" w:space="0"/>
              <w:right w:val="single" w:color="auto" w:sz="4" w:space="0"/>
            </w:tcBorders>
            <w:shd w:val="clear" w:color="auto" w:fill="auto"/>
            <w:noWrap/>
            <w:vAlign w:val="center"/>
          </w:tcPr>
          <w:p w14:paraId="7A2BBC6C">
            <w:r>
              <w:rPr>
                <w:rFonts w:hint="eastAsia"/>
              </w:rPr>
              <w:t>现代农业技术</w:t>
            </w:r>
          </w:p>
        </w:tc>
        <w:tc>
          <w:tcPr>
            <w:tcW w:w="700" w:type="dxa"/>
            <w:tcBorders>
              <w:top w:val="nil"/>
              <w:left w:val="nil"/>
              <w:bottom w:val="single" w:color="auto" w:sz="4" w:space="0"/>
              <w:right w:val="single" w:color="auto" w:sz="4" w:space="0"/>
            </w:tcBorders>
            <w:shd w:val="clear" w:color="auto" w:fill="auto"/>
            <w:noWrap/>
            <w:vAlign w:val="center"/>
          </w:tcPr>
          <w:p w14:paraId="7AE88061">
            <w:r>
              <w:rPr>
                <w:rFonts w:hint="eastAsia"/>
              </w:rPr>
              <w:t>3000</w:t>
            </w:r>
          </w:p>
        </w:tc>
        <w:tc>
          <w:tcPr>
            <w:tcW w:w="1180" w:type="dxa"/>
            <w:tcBorders>
              <w:top w:val="nil"/>
              <w:left w:val="nil"/>
              <w:bottom w:val="single" w:color="auto" w:sz="4" w:space="0"/>
              <w:right w:val="single" w:color="auto" w:sz="4" w:space="0"/>
            </w:tcBorders>
            <w:shd w:val="clear" w:color="auto" w:fill="auto"/>
            <w:noWrap/>
            <w:vAlign w:val="center"/>
          </w:tcPr>
          <w:p w14:paraId="449200E6"/>
        </w:tc>
        <w:tc>
          <w:tcPr>
            <w:tcW w:w="2540" w:type="dxa"/>
            <w:tcBorders>
              <w:top w:val="nil"/>
              <w:left w:val="nil"/>
              <w:bottom w:val="single" w:color="auto" w:sz="4" w:space="0"/>
              <w:right w:val="single" w:color="auto" w:sz="4" w:space="0"/>
            </w:tcBorders>
            <w:shd w:val="clear" w:color="auto" w:fill="auto"/>
            <w:vAlign w:val="center"/>
          </w:tcPr>
          <w:p w14:paraId="3039548B">
            <w:r>
              <w:rPr>
                <w:rFonts w:hint="eastAsia"/>
              </w:rPr>
              <w:t>　</w:t>
            </w:r>
          </w:p>
        </w:tc>
      </w:tr>
      <w:tr w14:paraId="1D1DAE4D">
        <w:tblPrEx>
          <w:tblCellMar>
            <w:top w:w="0" w:type="dxa"/>
            <w:left w:w="108" w:type="dxa"/>
            <w:bottom w:w="0" w:type="dxa"/>
            <w:right w:w="108" w:type="dxa"/>
          </w:tblCellMar>
        </w:tblPrEx>
        <w:trPr>
          <w:trHeight w:val="312" w:hRule="atLeast"/>
          <w:jc w:val="center"/>
        </w:trPr>
        <w:tc>
          <w:tcPr>
            <w:tcW w:w="1336" w:type="dxa"/>
            <w:vMerge w:val="continue"/>
            <w:tcBorders>
              <w:top w:val="nil"/>
              <w:left w:val="single" w:color="auto" w:sz="4" w:space="0"/>
              <w:bottom w:val="single" w:color="auto" w:sz="4" w:space="0"/>
              <w:right w:val="single" w:color="auto" w:sz="4" w:space="0"/>
            </w:tcBorders>
            <w:vAlign w:val="center"/>
          </w:tcPr>
          <w:p w14:paraId="4ED56595"/>
        </w:tc>
        <w:tc>
          <w:tcPr>
            <w:tcW w:w="3340" w:type="dxa"/>
            <w:tcBorders>
              <w:top w:val="nil"/>
              <w:left w:val="nil"/>
              <w:bottom w:val="single" w:color="auto" w:sz="4" w:space="0"/>
              <w:right w:val="single" w:color="auto" w:sz="4" w:space="0"/>
            </w:tcBorders>
            <w:shd w:val="clear" w:color="auto" w:fill="auto"/>
            <w:noWrap/>
            <w:vAlign w:val="center"/>
          </w:tcPr>
          <w:p w14:paraId="6BA6E316">
            <w:r>
              <w:rPr>
                <w:rFonts w:hint="eastAsia"/>
              </w:rPr>
              <w:t>现代农业经济管理</w:t>
            </w:r>
          </w:p>
        </w:tc>
        <w:tc>
          <w:tcPr>
            <w:tcW w:w="700" w:type="dxa"/>
            <w:tcBorders>
              <w:top w:val="nil"/>
              <w:left w:val="nil"/>
              <w:bottom w:val="single" w:color="auto" w:sz="4" w:space="0"/>
              <w:right w:val="single" w:color="auto" w:sz="4" w:space="0"/>
            </w:tcBorders>
            <w:shd w:val="clear" w:color="auto" w:fill="auto"/>
            <w:noWrap/>
            <w:vAlign w:val="center"/>
          </w:tcPr>
          <w:p w14:paraId="7C62BAA6">
            <w:r>
              <w:rPr>
                <w:rFonts w:hint="eastAsia"/>
              </w:rPr>
              <w:t>3500</w:t>
            </w:r>
          </w:p>
        </w:tc>
        <w:tc>
          <w:tcPr>
            <w:tcW w:w="1180" w:type="dxa"/>
            <w:tcBorders>
              <w:top w:val="nil"/>
              <w:left w:val="nil"/>
              <w:bottom w:val="single" w:color="auto" w:sz="4" w:space="0"/>
              <w:right w:val="single" w:color="auto" w:sz="4" w:space="0"/>
            </w:tcBorders>
            <w:shd w:val="clear" w:color="auto" w:fill="auto"/>
            <w:noWrap/>
            <w:vAlign w:val="center"/>
          </w:tcPr>
          <w:p w14:paraId="729F75A7"/>
        </w:tc>
        <w:tc>
          <w:tcPr>
            <w:tcW w:w="2540" w:type="dxa"/>
            <w:tcBorders>
              <w:top w:val="nil"/>
              <w:left w:val="nil"/>
              <w:bottom w:val="single" w:color="auto" w:sz="4" w:space="0"/>
              <w:right w:val="single" w:color="auto" w:sz="4" w:space="0"/>
            </w:tcBorders>
            <w:shd w:val="clear" w:color="auto" w:fill="auto"/>
            <w:vAlign w:val="center"/>
          </w:tcPr>
          <w:p w14:paraId="6A71718A">
            <w:r>
              <w:rPr>
                <w:rFonts w:hint="eastAsia"/>
              </w:rPr>
              <w:t>　</w:t>
            </w:r>
          </w:p>
        </w:tc>
      </w:tr>
      <w:tr w14:paraId="5F8398C5">
        <w:tblPrEx>
          <w:tblCellMar>
            <w:top w:w="0" w:type="dxa"/>
            <w:left w:w="108" w:type="dxa"/>
            <w:bottom w:w="0" w:type="dxa"/>
            <w:right w:w="108" w:type="dxa"/>
          </w:tblCellMar>
        </w:tblPrEx>
        <w:trPr>
          <w:trHeight w:val="312" w:hRule="atLeast"/>
          <w:jc w:val="center"/>
        </w:trPr>
        <w:tc>
          <w:tcPr>
            <w:tcW w:w="1336" w:type="dxa"/>
            <w:vMerge w:val="continue"/>
            <w:tcBorders>
              <w:top w:val="nil"/>
              <w:left w:val="single" w:color="auto" w:sz="4" w:space="0"/>
              <w:bottom w:val="single" w:color="auto" w:sz="4" w:space="0"/>
              <w:right w:val="single" w:color="auto" w:sz="4" w:space="0"/>
            </w:tcBorders>
            <w:vAlign w:val="center"/>
          </w:tcPr>
          <w:p w14:paraId="16B47A6B"/>
        </w:tc>
        <w:tc>
          <w:tcPr>
            <w:tcW w:w="3340" w:type="dxa"/>
            <w:tcBorders>
              <w:top w:val="nil"/>
              <w:left w:val="nil"/>
              <w:bottom w:val="single" w:color="auto" w:sz="4" w:space="0"/>
              <w:right w:val="single" w:color="auto" w:sz="4" w:space="0"/>
            </w:tcBorders>
            <w:shd w:val="clear" w:color="auto" w:fill="auto"/>
            <w:noWrap/>
            <w:vAlign w:val="center"/>
          </w:tcPr>
          <w:p w14:paraId="24C9286D">
            <w:r>
              <w:rPr>
                <w:rFonts w:hint="eastAsia"/>
              </w:rPr>
              <w:t>园艺技术</w:t>
            </w:r>
          </w:p>
        </w:tc>
        <w:tc>
          <w:tcPr>
            <w:tcW w:w="700" w:type="dxa"/>
            <w:tcBorders>
              <w:top w:val="nil"/>
              <w:left w:val="nil"/>
              <w:bottom w:val="single" w:color="auto" w:sz="4" w:space="0"/>
              <w:right w:val="single" w:color="auto" w:sz="4" w:space="0"/>
            </w:tcBorders>
            <w:shd w:val="clear" w:color="auto" w:fill="auto"/>
            <w:noWrap/>
            <w:vAlign w:val="center"/>
          </w:tcPr>
          <w:p w14:paraId="542090FF">
            <w:r>
              <w:rPr>
                <w:rFonts w:hint="eastAsia"/>
              </w:rPr>
              <w:t>3000</w:t>
            </w:r>
          </w:p>
        </w:tc>
        <w:tc>
          <w:tcPr>
            <w:tcW w:w="1180" w:type="dxa"/>
            <w:tcBorders>
              <w:top w:val="nil"/>
              <w:left w:val="nil"/>
              <w:bottom w:val="single" w:color="auto" w:sz="4" w:space="0"/>
              <w:right w:val="single" w:color="auto" w:sz="4" w:space="0"/>
            </w:tcBorders>
            <w:shd w:val="clear" w:color="auto" w:fill="auto"/>
            <w:noWrap/>
            <w:vAlign w:val="center"/>
          </w:tcPr>
          <w:p w14:paraId="006777B5"/>
        </w:tc>
        <w:tc>
          <w:tcPr>
            <w:tcW w:w="2540" w:type="dxa"/>
            <w:tcBorders>
              <w:top w:val="nil"/>
              <w:left w:val="nil"/>
              <w:bottom w:val="single" w:color="auto" w:sz="4" w:space="0"/>
              <w:right w:val="single" w:color="auto" w:sz="4" w:space="0"/>
            </w:tcBorders>
            <w:shd w:val="clear" w:color="auto" w:fill="auto"/>
            <w:vAlign w:val="center"/>
          </w:tcPr>
          <w:p w14:paraId="1C6811E7">
            <w:r>
              <w:rPr>
                <w:rFonts w:hint="eastAsia"/>
              </w:rPr>
              <w:t>　</w:t>
            </w:r>
          </w:p>
        </w:tc>
      </w:tr>
      <w:tr w14:paraId="060FD485">
        <w:tblPrEx>
          <w:tblCellMar>
            <w:top w:w="0" w:type="dxa"/>
            <w:left w:w="108" w:type="dxa"/>
            <w:bottom w:w="0" w:type="dxa"/>
            <w:right w:w="108" w:type="dxa"/>
          </w:tblCellMar>
        </w:tblPrEx>
        <w:trPr>
          <w:trHeight w:val="312" w:hRule="atLeast"/>
          <w:jc w:val="center"/>
        </w:trPr>
        <w:tc>
          <w:tcPr>
            <w:tcW w:w="1336" w:type="dxa"/>
            <w:vMerge w:val="continue"/>
            <w:tcBorders>
              <w:top w:val="nil"/>
              <w:left w:val="single" w:color="auto" w:sz="4" w:space="0"/>
              <w:bottom w:val="single" w:color="auto" w:sz="4" w:space="0"/>
              <w:right w:val="single" w:color="auto" w:sz="4" w:space="0"/>
            </w:tcBorders>
            <w:vAlign w:val="center"/>
          </w:tcPr>
          <w:p w14:paraId="56889B3A"/>
        </w:tc>
        <w:tc>
          <w:tcPr>
            <w:tcW w:w="3340" w:type="dxa"/>
            <w:tcBorders>
              <w:top w:val="nil"/>
              <w:left w:val="nil"/>
              <w:bottom w:val="single" w:color="auto" w:sz="4" w:space="0"/>
              <w:right w:val="single" w:color="auto" w:sz="4" w:space="0"/>
            </w:tcBorders>
            <w:shd w:val="clear" w:color="auto" w:fill="auto"/>
            <w:noWrap/>
            <w:vAlign w:val="center"/>
          </w:tcPr>
          <w:p w14:paraId="51B7DBDB">
            <w:r>
              <w:rPr>
                <w:rFonts w:hint="eastAsia"/>
              </w:rPr>
              <w:t>中草药栽培与加工技术</w:t>
            </w:r>
          </w:p>
        </w:tc>
        <w:tc>
          <w:tcPr>
            <w:tcW w:w="700" w:type="dxa"/>
            <w:tcBorders>
              <w:top w:val="nil"/>
              <w:left w:val="nil"/>
              <w:bottom w:val="single" w:color="auto" w:sz="4" w:space="0"/>
              <w:right w:val="single" w:color="auto" w:sz="4" w:space="0"/>
            </w:tcBorders>
            <w:shd w:val="clear" w:color="auto" w:fill="auto"/>
            <w:noWrap/>
            <w:vAlign w:val="center"/>
          </w:tcPr>
          <w:p w14:paraId="157A4DF5">
            <w:r>
              <w:rPr>
                <w:rFonts w:hint="eastAsia"/>
              </w:rPr>
              <w:t>3000</w:t>
            </w:r>
          </w:p>
        </w:tc>
        <w:tc>
          <w:tcPr>
            <w:tcW w:w="1180" w:type="dxa"/>
            <w:tcBorders>
              <w:top w:val="nil"/>
              <w:left w:val="nil"/>
              <w:bottom w:val="single" w:color="auto" w:sz="4" w:space="0"/>
              <w:right w:val="single" w:color="auto" w:sz="4" w:space="0"/>
            </w:tcBorders>
            <w:shd w:val="clear" w:color="auto" w:fill="auto"/>
            <w:noWrap/>
            <w:vAlign w:val="center"/>
          </w:tcPr>
          <w:p w14:paraId="100D6AFA"/>
        </w:tc>
        <w:tc>
          <w:tcPr>
            <w:tcW w:w="2540" w:type="dxa"/>
            <w:tcBorders>
              <w:top w:val="nil"/>
              <w:left w:val="nil"/>
              <w:bottom w:val="single" w:color="auto" w:sz="4" w:space="0"/>
              <w:right w:val="single" w:color="auto" w:sz="4" w:space="0"/>
            </w:tcBorders>
            <w:shd w:val="clear" w:color="auto" w:fill="auto"/>
            <w:vAlign w:val="center"/>
          </w:tcPr>
          <w:p w14:paraId="6DCDAA6C">
            <w:r>
              <w:rPr>
                <w:rFonts w:hint="eastAsia"/>
              </w:rPr>
              <w:t>　</w:t>
            </w:r>
          </w:p>
        </w:tc>
      </w:tr>
      <w:tr w14:paraId="19D92379">
        <w:tblPrEx>
          <w:tblCellMar>
            <w:top w:w="0" w:type="dxa"/>
            <w:left w:w="108" w:type="dxa"/>
            <w:bottom w:w="0" w:type="dxa"/>
            <w:right w:w="108" w:type="dxa"/>
          </w:tblCellMar>
        </w:tblPrEx>
        <w:trPr>
          <w:trHeight w:val="552" w:hRule="atLeast"/>
          <w:jc w:val="center"/>
        </w:trPr>
        <w:tc>
          <w:tcPr>
            <w:tcW w:w="1336" w:type="dxa"/>
            <w:vMerge w:val="continue"/>
            <w:tcBorders>
              <w:top w:val="nil"/>
              <w:left w:val="single" w:color="auto" w:sz="4" w:space="0"/>
              <w:bottom w:val="single" w:color="auto" w:sz="4" w:space="0"/>
              <w:right w:val="single" w:color="auto" w:sz="4" w:space="0"/>
            </w:tcBorders>
            <w:vAlign w:val="center"/>
          </w:tcPr>
          <w:p w14:paraId="2858995B"/>
        </w:tc>
        <w:tc>
          <w:tcPr>
            <w:tcW w:w="3340" w:type="dxa"/>
            <w:tcBorders>
              <w:top w:val="nil"/>
              <w:left w:val="nil"/>
              <w:bottom w:val="single" w:color="auto" w:sz="4" w:space="0"/>
              <w:right w:val="single" w:color="auto" w:sz="4" w:space="0"/>
            </w:tcBorders>
            <w:shd w:val="clear" w:color="auto" w:fill="auto"/>
            <w:noWrap/>
            <w:vAlign w:val="center"/>
          </w:tcPr>
          <w:p w14:paraId="6A0003E2">
            <w:r>
              <w:rPr>
                <w:rFonts w:hint="eastAsia"/>
              </w:rPr>
              <w:t>种子生产与经营</w:t>
            </w:r>
          </w:p>
        </w:tc>
        <w:tc>
          <w:tcPr>
            <w:tcW w:w="700" w:type="dxa"/>
            <w:tcBorders>
              <w:top w:val="nil"/>
              <w:left w:val="nil"/>
              <w:bottom w:val="single" w:color="auto" w:sz="4" w:space="0"/>
              <w:right w:val="single" w:color="auto" w:sz="4" w:space="0"/>
            </w:tcBorders>
            <w:shd w:val="clear" w:color="auto" w:fill="auto"/>
            <w:noWrap/>
            <w:vAlign w:val="center"/>
          </w:tcPr>
          <w:p w14:paraId="1DA1EE6A">
            <w:r>
              <w:rPr>
                <w:rFonts w:hint="eastAsia"/>
              </w:rPr>
              <w:t>3000</w:t>
            </w:r>
          </w:p>
        </w:tc>
        <w:tc>
          <w:tcPr>
            <w:tcW w:w="1180" w:type="dxa"/>
            <w:tcBorders>
              <w:top w:val="nil"/>
              <w:left w:val="nil"/>
              <w:bottom w:val="single" w:color="auto" w:sz="4" w:space="0"/>
              <w:right w:val="single" w:color="auto" w:sz="4" w:space="0"/>
            </w:tcBorders>
            <w:shd w:val="clear" w:color="auto" w:fill="auto"/>
            <w:noWrap/>
            <w:vAlign w:val="center"/>
          </w:tcPr>
          <w:p w14:paraId="68440EE7"/>
        </w:tc>
        <w:tc>
          <w:tcPr>
            <w:tcW w:w="2540" w:type="dxa"/>
            <w:tcBorders>
              <w:top w:val="nil"/>
              <w:left w:val="nil"/>
              <w:bottom w:val="single" w:color="auto" w:sz="4" w:space="0"/>
              <w:right w:val="single" w:color="auto" w:sz="4" w:space="0"/>
            </w:tcBorders>
            <w:shd w:val="clear" w:color="auto" w:fill="auto"/>
            <w:vAlign w:val="center"/>
          </w:tcPr>
          <w:p w14:paraId="15FCAF2E">
            <w:r>
              <w:rPr>
                <w:rFonts w:hint="eastAsia"/>
              </w:rPr>
              <w:t>本专业就业岗位适宜男生，建议女生慎重报考</w:t>
            </w:r>
          </w:p>
        </w:tc>
      </w:tr>
      <w:tr w14:paraId="4FB5F019">
        <w:tblPrEx>
          <w:tblCellMar>
            <w:top w:w="0" w:type="dxa"/>
            <w:left w:w="108" w:type="dxa"/>
            <w:bottom w:w="0" w:type="dxa"/>
            <w:right w:w="108" w:type="dxa"/>
          </w:tblCellMar>
        </w:tblPrEx>
        <w:trPr>
          <w:trHeight w:val="312" w:hRule="atLeast"/>
          <w:jc w:val="center"/>
        </w:trPr>
        <w:tc>
          <w:tcPr>
            <w:tcW w:w="1336" w:type="dxa"/>
            <w:vMerge w:val="continue"/>
            <w:tcBorders>
              <w:top w:val="nil"/>
              <w:left w:val="single" w:color="auto" w:sz="4" w:space="0"/>
              <w:bottom w:val="single" w:color="auto" w:sz="4" w:space="0"/>
              <w:right w:val="single" w:color="auto" w:sz="4" w:space="0"/>
            </w:tcBorders>
            <w:vAlign w:val="center"/>
          </w:tcPr>
          <w:p w14:paraId="3A328F6E"/>
        </w:tc>
        <w:tc>
          <w:tcPr>
            <w:tcW w:w="3340" w:type="dxa"/>
            <w:tcBorders>
              <w:top w:val="nil"/>
              <w:left w:val="nil"/>
              <w:bottom w:val="single" w:color="auto" w:sz="4" w:space="0"/>
              <w:right w:val="single" w:color="auto" w:sz="4" w:space="0"/>
            </w:tcBorders>
            <w:shd w:val="clear" w:color="auto" w:fill="auto"/>
            <w:noWrap/>
            <w:vAlign w:val="center"/>
          </w:tcPr>
          <w:p w14:paraId="40B54AD3">
            <w:r>
              <w:rPr>
                <w:rFonts w:hint="eastAsia"/>
              </w:rPr>
              <w:t>畜牧兽医</w:t>
            </w:r>
          </w:p>
        </w:tc>
        <w:tc>
          <w:tcPr>
            <w:tcW w:w="700" w:type="dxa"/>
            <w:tcBorders>
              <w:top w:val="nil"/>
              <w:left w:val="nil"/>
              <w:bottom w:val="single" w:color="auto" w:sz="4" w:space="0"/>
              <w:right w:val="single" w:color="auto" w:sz="4" w:space="0"/>
            </w:tcBorders>
            <w:shd w:val="clear" w:color="auto" w:fill="auto"/>
            <w:noWrap/>
            <w:vAlign w:val="center"/>
          </w:tcPr>
          <w:p w14:paraId="06044EA8">
            <w:r>
              <w:rPr>
                <w:rFonts w:hint="eastAsia"/>
              </w:rPr>
              <w:t>3000</w:t>
            </w:r>
          </w:p>
        </w:tc>
        <w:tc>
          <w:tcPr>
            <w:tcW w:w="1180" w:type="dxa"/>
            <w:tcBorders>
              <w:top w:val="nil"/>
              <w:left w:val="nil"/>
              <w:bottom w:val="single" w:color="auto" w:sz="4" w:space="0"/>
              <w:right w:val="single" w:color="auto" w:sz="4" w:space="0"/>
            </w:tcBorders>
            <w:shd w:val="clear" w:color="auto" w:fill="auto"/>
            <w:noWrap/>
            <w:vAlign w:val="center"/>
          </w:tcPr>
          <w:p w14:paraId="6E4A39E0"/>
        </w:tc>
        <w:tc>
          <w:tcPr>
            <w:tcW w:w="2540" w:type="dxa"/>
            <w:tcBorders>
              <w:top w:val="nil"/>
              <w:left w:val="nil"/>
              <w:bottom w:val="single" w:color="auto" w:sz="4" w:space="0"/>
              <w:right w:val="single" w:color="auto" w:sz="4" w:space="0"/>
            </w:tcBorders>
            <w:shd w:val="clear" w:color="auto" w:fill="auto"/>
            <w:vAlign w:val="center"/>
          </w:tcPr>
          <w:p w14:paraId="309B4514">
            <w:r>
              <w:rPr>
                <w:rFonts w:hint="eastAsia"/>
              </w:rPr>
              <w:t>　</w:t>
            </w:r>
          </w:p>
        </w:tc>
      </w:tr>
      <w:tr w14:paraId="5D4FE13D">
        <w:tblPrEx>
          <w:tblCellMar>
            <w:top w:w="0" w:type="dxa"/>
            <w:left w:w="108" w:type="dxa"/>
            <w:bottom w:w="0" w:type="dxa"/>
            <w:right w:w="108" w:type="dxa"/>
          </w:tblCellMar>
        </w:tblPrEx>
        <w:trPr>
          <w:trHeight w:val="312" w:hRule="atLeast"/>
          <w:jc w:val="center"/>
        </w:trPr>
        <w:tc>
          <w:tcPr>
            <w:tcW w:w="1336" w:type="dxa"/>
            <w:vMerge w:val="continue"/>
            <w:tcBorders>
              <w:top w:val="nil"/>
              <w:left w:val="single" w:color="auto" w:sz="4" w:space="0"/>
              <w:bottom w:val="single" w:color="auto" w:sz="4" w:space="0"/>
              <w:right w:val="single" w:color="auto" w:sz="4" w:space="0"/>
            </w:tcBorders>
            <w:vAlign w:val="center"/>
          </w:tcPr>
          <w:p w14:paraId="11C8D523"/>
        </w:tc>
        <w:tc>
          <w:tcPr>
            <w:tcW w:w="3340" w:type="dxa"/>
            <w:tcBorders>
              <w:top w:val="nil"/>
              <w:left w:val="nil"/>
              <w:bottom w:val="single" w:color="auto" w:sz="4" w:space="0"/>
              <w:right w:val="single" w:color="auto" w:sz="4" w:space="0"/>
            </w:tcBorders>
            <w:shd w:val="clear" w:color="auto" w:fill="auto"/>
            <w:noWrap/>
            <w:vAlign w:val="center"/>
          </w:tcPr>
          <w:p w14:paraId="60A56253">
            <w:r>
              <w:rPr>
                <w:rFonts w:hint="eastAsia"/>
              </w:rPr>
              <w:t>动物医学</w:t>
            </w:r>
          </w:p>
        </w:tc>
        <w:tc>
          <w:tcPr>
            <w:tcW w:w="700" w:type="dxa"/>
            <w:tcBorders>
              <w:top w:val="nil"/>
              <w:left w:val="nil"/>
              <w:bottom w:val="single" w:color="auto" w:sz="4" w:space="0"/>
              <w:right w:val="single" w:color="auto" w:sz="4" w:space="0"/>
            </w:tcBorders>
            <w:shd w:val="clear" w:color="auto" w:fill="auto"/>
            <w:noWrap/>
            <w:vAlign w:val="center"/>
          </w:tcPr>
          <w:p w14:paraId="43B9F659">
            <w:r>
              <w:rPr>
                <w:rFonts w:hint="eastAsia"/>
              </w:rPr>
              <w:t>3000</w:t>
            </w:r>
          </w:p>
        </w:tc>
        <w:tc>
          <w:tcPr>
            <w:tcW w:w="1180" w:type="dxa"/>
            <w:tcBorders>
              <w:top w:val="nil"/>
              <w:left w:val="nil"/>
              <w:bottom w:val="single" w:color="auto" w:sz="4" w:space="0"/>
              <w:right w:val="single" w:color="auto" w:sz="4" w:space="0"/>
            </w:tcBorders>
            <w:shd w:val="clear" w:color="auto" w:fill="auto"/>
            <w:noWrap/>
            <w:vAlign w:val="center"/>
          </w:tcPr>
          <w:p w14:paraId="502C9943"/>
        </w:tc>
        <w:tc>
          <w:tcPr>
            <w:tcW w:w="2540" w:type="dxa"/>
            <w:tcBorders>
              <w:top w:val="nil"/>
              <w:left w:val="nil"/>
              <w:bottom w:val="single" w:color="auto" w:sz="4" w:space="0"/>
              <w:right w:val="single" w:color="auto" w:sz="4" w:space="0"/>
            </w:tcBorders>
            <w:shd w:val="clear" w:color="auto" w:fill="auto"/>
            <w:vAlign w:val="center"/>
          </w:tcPr>
          <w:p w14:paraId="5A006C84">
            <w:r>
              <w:rPr>
                <w:rFonts w:hint="eastAsia"/>
              </w:rPr>
              <w:t>　</w:t>
            </w:r>
          </w:p>
        </w:tc>
      </w:tr>
      <w:tr w14:paraId="4909080C">
        <w:tblPrEx>
          <w:tblCellMar>
            <w:top w:w="0" w:type="dxa"/>
            <w:left w:w="108" w:type="dxa"/>
            <w:bottom w:w="0" w:type="dxa"/>
            <w:right w:w="108" w:type="dxa"/>
          </w:tblCellMar>
        </w:tblPrEx>
        <w:trPr>
          <w:trHeight w:val="312" w:hRule="atLeast"/>
          <w:jc w:val="center"/>
        </w:trPr>
        <w:tc>
          <w:tcPr>
            <w:tcW w:w="1336" w:type="dxa"/>
            <w:vMerge w:val="restart"/>
            <w:tcBorders>
              <w:top w:val="nil"/>
              <w:left w:val="single" w:color="auto" w:sz="4" w:space="0"/>
              <w:bottom w:val="single" w:color="auto" w:sz="4" w:space="0"/>
              <w:right w:val="single" w:color="auto" w:sz="4" w:space="0"/>
            </w:tcBorders>
            <w:shd w:val="clear" w:color="auto" w:fill="auto"/>
            <w:noWrap/>
            <w:vAlign w:val="center"/>
          </w:tcPr>
          <w:p w14:paraId="5C80C078">
            <w:r>
              <w:rPr>
                <w:rFonts w:hint="eastAsia"/>
              </w:rPr>
              <w:t>专业分组B</w:t>
            </w:r>
          </w:p>
        </w:tc>
        <w:tc>
          <w:tcPr>
            <w:tcW w:w="3340" w:type="dxa"/>
            <w:tcBorders>
              <w:top w:val="nil"/>
              <w:left w:val="nil"/>
              <w:bottom w:val="single" w:color="auto" w:sz="4" w:space="0"/>
              <w:right w:val="single" w:color="auto" w:sz="4" w:space="0"/>
            </w:tcBorders>
            <w:shd w:val="clear" w:color="auto" w:fill="auto"/>
            <w:noWrap/>
            <w:vAlign w:val="center"/>
          </w:tcPr>
          <w:p w14:paraId="5264973B">
            <w:r>
              <w:rPr>
                <w:rFonts w:hint="eastAsia"/>
              </w:rPr>
              <w:t>机电一体化技术</w:t>
            </w:r>
          </w:p>
        </w:tc>
        <w:tc>
          <w:tcPr>
            <w:tcW w:w="700" w:type="dxa"/>
            <w:tcBorders>
              <w:top w:val="nil"/>
              <w:left w:val="nil"/>
              <w:bottom w:val="single" w:color="auto" w:sz="4" w:space="0"/>
              <w:right w:val="single" w:color="auto" w:sz="4" w:space="0"/>
            </w:tcBorders>
            <w:shd w:val="clear" w:color="auto" w:fill="auto"/>
            <w:noWrap/>
            <w:vAlign w:val="center"/>
          </w:tcPr>
          <w:p w14:paraId="780A91E4">
            <w:r>
              <w:rPr>
                <w:rFonts w:hint="eastAsia"/>
              </w:rPr>
              <w:t>4600</w:t>
            </w:r>
          </w:p>
        </w:tc>
        <w:tc>
          <w:tcPr>
            <w:tcW w:w="1180" w:type="dxa"/>
            <w:tcBorders>
              <w:top w:val="nil"/>
              <w:left w:val="nil"/>
              <w:bottom w:val="single" w:color="auto" w:sz="4" w:space="0"/>
              <w:right w:val="single" w:color="auto" w:sz="4" w:space="0"/>
            </w:tcBorders>
            <w:shd w:val="clear" w:color="auto" w:fill="auto"/>
            <w:noWrap/>
            <w:vAlign w:val="center"/>
          </w:tcPr>
          <w:p w14:paraId="488BC167"/>
        </w:tc>
        <w:tc>
          <w:tcPr>
            <w:tcW w:w="2540" w:type="dxa"/>
            <w:tcBorders>
              <w:top w:val="nil"/>
              <w:left w:val="nil"/>
              <w:bottom w:val="single" w:color="auto" w:sz="4" w:space="0"/>
              <w:right w:val="single" w:color="auto" w:sz="4" w:space="0"/>
            </w:tcBorders>
            <w:shd w:val="clear" w:color="auto" w:fill="auto"/>
            <w:vAlign w:val="center"/>
          </w:tcPr>
          <w:p w14:paraId="348763B6">
            <w:r>
              <w:rPr>
                <w:rFonts w:hint="eastAsia"/>
              </w:rPr>
              <w:t>　</w:t>
            </w:r>
          </w:p>
        </w:tc>
      </w:tr>
      <w:tr w14:paraId="331D97D7">
        <w:tblPrEx>
          <w:tblCellMar>
            <w:top w:w="0" w:type="dxa"/>
            <w:left w:w="108" w:type="dxa"/>
            <w:bottom w:w="0" w:type="dxa"/>
            <w:right w:w="108" w:type="dxa"/>
          </w:tblCellMar>
        </w:tblPrEx>
        <w:trPr>
          <w:trHeight w:val="312" w:hRule="atLeast"/>
          <w:jc w:val="center"/>
        </w:trPr>
        <w:tc>
          <w:tcPr>
            <w:tcW w:w="1336" w:type="dxa"/>
            <w:vMerge w:val="continue"/>
            <w:tcBorders>
              <w:top w:val="nil"/>
              <w:left w:val="single" w:color="auto" w:sz="4" w:space="0"/>
              <w:bottom w:val="single" w:color="auto" w:sz="4" w:space="0"/>
              <w:right w:val="single" w:color="auto" w:sz="4" w:space="0"/>
            </w:tcBorders>
            <w:vAlign w:val="center"/>
          </w:tcPr>
          <w:p w14:paraId="7A868069"/>
        </w:tc>
        <w:tc>
          <w:tcPr>
            <w:tcW w:w="3340" w:type="dxa"/>
            <w:tcBorders>
              <w:top w:val="nil"/>
              <w:left w:val="nil"/>
              <w:bottom w:val="single" w:color="auto" w:sz="4" w:space="0"/>
              <w:right w:val="single" w:color="auto" w:sz="4" w:space="0"/>
            </w:tcBorders>
            <w:shd w:val="clear" w:color="auto" w:fill="auto"/>
            <w:noWrap/>
            <w:vAlign w:val="center"/>
          </w:tcPr>
          <w:p w14:paraId="14F92400">
            <w:r>
              <w:rPr>
                <w:rFonts w:hint="eastAsia"/>
              </w:rPr>
              <w:t>应用电子技术</w:t>
            </w:r>
          </w:p>
        </w:tc>
        <w:tc>
          <w:tcPr>
            <w:tcW w:w="700" w:type="dxa"/>
            <w:tcBorders>
              <w:top w:val="nil"/>
              <w:left w:val="nil"/>
              <w:bottom w:val="single" w:color="auto" w:sz="4" w:space="0"/>
              <w:right w:val="single" w:color="auto" w:sz="4" w:space="0"/>
            </w:tcBorders>
            <w:shd w:val="clear" w:color="auto" w:fill="auto"/>
            <w:noWrap/>
            <w:vAlign w:val="center"/>
          </w:tcPr>
          <w:p w14:paraId="34E6BE30">
            <w:r>
              <w:rPr>
                <w:rFonts w:hint="eastAsia"/>
              </w:rPr>
              <w:t>4600</w:t>
            </w:r>
          </w:p>
        </w:tc>
        <w:tc>
          <w:tcPr>
            <w:tcW w:w="1180" w:type="dxa"/>
            <w:tcBorders>
              <w:top w:val="nil"/>
              <w:left w:val="nil"/>
              <w:bottom w:val="single" w:color="auto" w:sz="4" w:space="0"/>
              <w:right w:val="single" w:color="auto" w:sz="4" w:space="0"/>
            </w:tcBorders>
            <w:shd w:val="clear" w:color="auto" w:fill="auto"/>
            <w:noWrap/>
            <w:vAlign w:val="center"/>
          </w:tcPr>
          <w:p w14:paraId="131AF508"/>
        </w:tc>
        <w:tc>
          <w:tcPr>
            <w:tcW w:w="2540" w:type="dxa"/>
            <w:tcBorders>
              <w:top w:val="nil"/>
              <w:left w:val="nil"/>
              <w:bottom w:val="single" w:color="auto" w:sz="4" w:space="0"/>
              <w:right w:val="single" w:color="auto" w:sz="4" w:space="0"/>
            </w:tcBorders>
            <w:shd w:val="clear" w:color="auto" w:fill="auto"/>
            <w:vAlign w:val="center"/>
          </w:tcPr>
          <w:p w14:paraId="0C36F339">
            <w:r>
              <w:rPr>
                <w:rFonts w:hint="eastAsia"/>
              </w:rPr>
              <w:t>　</w:t>
            </w:r>
          </w:p>
        </w:tc>
      </w:tr>
      <w:tr w14:paraId="0285204D">
        <w:tblPrEx>
          <w:tblCellMar>
            <w:top w:w="0" w:type="dxa"/>
            <w:left w:w="108" w:type="dxa"/>
            <w:bottom w:w="0" w:type="dxa"/>
            <w:right w:w="108" w:type="dxa"/>
          </w:tblCellMar>
        </w:tblPrEx>
        <w:trPr>
          <w:trHeight w:val="312" w:hRule="atLeast"/>
          <w:jc w:val="center"/>
        </w:trPr>
        <w:tc>
          <w:tcPr>
            <w:tcW w:w="1336" w:type="dxa"/>
            <w:vMerge w:val="continue"/>
            <w:tcBorders>
              <w:top w:val="nil"/>
              <w:left w:val="single" w:color="auto" w:sz="4" w:space="0"/>
              <w:bottom w:val="single" w:color="auto" w:sz="4" w:space="0"/>
              <w:right w:val="single" w:color="auto" w:sz="4" w:space="0"/>
            </w:tcBorders>
            <w:vAlign w:val="center"/>
          </w:tcPr>
          <w:p w14:paraId="1156ED8C"/>
        </w:tc>
        <w:tc>
          <w:tcPr>
            <w:tcW w:w="3340" w:type="dxa"/>
            <w:tcBorders>
              <w:top w:val="nil"/>
              <w:left w:val="nil"/>
              <w:bottom w:val="single" w:color="auto" w:sz="4" w:space="0"/>
              <w:right w:val="single" w:color="auto" w:sz="4" w:space="0"/>
            </w:tcBorders>
            <w:shd w:val="clear" w:color="auto" w:fill="auto"/>
            <w:noWrap/>
            <w:vAlign w:val="center"/>
          </w:tcPr>
          <w:p w14:paraId="4EE3D08D">
            <w:r>
              <w:rPr>
                <w:rFonts w:hint="eastAsia"/>
              </w:rPr>
              <w:t>智能控制技术</w:t>
            </w:r>
          </w:p>
        </w:tc>
        <w:tc>
          <w:tcPr>
            <w:tcW w:w="700" w:type="dxa"/>
            <w:tcBorders>
              <w:top w:val="nil"/>
              <w:left w:val="nil"/>
              <w:bottom w:val="single" w:color="auto" w:sz="4" w:space="0"/>
              <w:right w:val="single" w:color="auto" w:sz="4" w:space="0"/>
            </w:tcBorders>
            <w:shd w:val="clear" w:color="auto" w:fill="auto"/>
            <w:noWrap/>
            <w:vAlign w:val="center"/>
          </w:tcPr>
          <w:p w14:paraId="14C49003">
            <w:r>
              <w:rPr>
                <w:rFonts w:hint="eastAsia"/>
              </w:rPr>
              <w:t>4600</w:t>
            </w:r>
          </w:p>
        </w:tc>
        <w:tc>
          <w:tcPr>
            <w:tcW w:w="1180" w:type="dxa"/>
            <w:tcBorders>
              <w:top w:val="nil"/>
              <w:left w:val="nil"/>
              <w:bottom w:val="single" w:color="auto" w:sz="4" w:space="0"/>
              <w:right w:val="single" w:color="auto" w:sz="4" w:space="0"/>
            </w:tcBorders>
            <w:shd w:val="clear" w:color="auto" w:fill="auto"/>
            <w:noWrap/>
            <w:vAlign w:val="center"/>
          </w:tcPr>
          <w:p w14:paraId="53D56DF3"/>
        </w:tc>
        <w:tc>
          <w:tcPr>
            <w:tcW w:w="2540" w:type="dxa"/>
            <w:tcBorders>
              <w:top w:val="nil"/>
              <w:left w:val="nil"/>
              <w:bottom w:val="single" w:color="auto" w:sz="4" w:space="0"/>
              <w:right w:val="single" w:color="auto" w:sz="4" w:space="0"/>
            </w:tcBorders>
            <w:shd w:val="clear" w:color="auto" w:fill="auto"/>
            <w:vAlign w:val="center"/>
          </w:tcPr>
          <w:p w14:paraId="3DE7D938">
            <w:r>
              <w:rPr>
                <w:rFonts w:hint="eastAsia"/>
              </w:rPr>
              <w:t>　</w:t>
            </w:r>
          </w:p>
        </w:tc>
      </w:tr>
      <w:tr w14:paraId="0D86A11E">
        <w:tblPrEx>
          <w:tblCellMar>
            <w:top w:w="0" w:type="dxa"/>
            <w:left w:w="108" w:type="dxa"/>
            <w:bottom w:w="0" w:type="dxa"/>
            <w:right w:w="108" w:type="dxa"/>
          </w:tblCellMar>
        </w:tblPrEx>
        <w:trPr>
          <w:trHeight w:val="312" w:hRule="atLeast"/>
          <w:jc w:val="center"/>
        </w:trPr>
        <w:tc>
          <w:tcPr>
            <w:tcW w:w="1336" w:type="dxa"/>
            <w:vMerge w:val="continue"/>
            <w:tcBorders>
              <w:top w:val="nil"/>
              <w:left w:val="single" w:color="auto" w:sz="4" w:space="0"/>
              <w:bottom w:val="single" w:color="auto" w:sz="4" w:space="0"/>
              <w:right w:val="single" w:color="auto" w:sz="4" w:space="0"/>
            </w:tcBorders>
            <w:vAlign w:val="center"/>
          </w:tcPr>
          <w:p w14:paraId="4834CD1D"/>
        </w:tc>
        <w:tc>
          <w:tcPr>
            <w:tcW w:w="3340" w:type="dxa"/>
            <w:tcBorders>
              <w:top w:val="nil"/>
              <w:left w:val="nil"/>
              <w:bottom w:val="single" w:color="auto" w:sz="4" w:space="0"/>
              <w:right w:val="single" w:color="auto" w:sz="4" w:space="0"/>
            </w:tcBorders>
            <w:shd w:val="clear" w:color="auto" w:fill="auto"/>
            <w:noWrap/>
            <w:vAlign w:val="center"/>
          </w:tcPr>
          <w:p w14:paraId="2CADB2A5">
            <w:r>
              <w:rPr>
                <w:rFonts w:hint="eastAsia"/>
              </w:rPr>
              <w:t>机械制造及自动化</w:t>
            </w:r>
          </w:p>
        </w:tc>
        <w:tc>
          <w:tcPr>
            <w:tcW w:w="700" w:type="dxa"/>
            <w:tcBorders>
              <w:top w:val="nil"/>
              <w:left w:val="nil"/>
              <w:bottom w:val="single" w:color="auto" w:sz="4" w:space="0"/>
              <w:right w:val="single" w:color="auto" w:sz="4" w:space="0"/>
            </w:tcBorders>
            <w:shd w:val="clear" w:color="auto" w:fill="auto"/>
            <w:noWrap/>
            <w:vAlign w:val="center"/>
          </w:tcPr>
          <w:p w14:paraId="1EAB3E02">
            <w:r>
              <w:rPr>
                <w:rFonts w:hint="eastAsia"/>
              </w:rPr>
              <w:t>4600</w:t>
            </w:r>
          </w:p>
        </w:tc>
        <w:tc>
          <w:tcPr>
            <w:tcW w:w="1180" w:type="dxa"/>
            <w:tcBorders>
              <w:top w:val="nil"/>
              <w:left w:val="nil"/>
              <w:bottom w:val="single" w:color="auto" w:sz="4" w:space="0"/>
              <w:right w:val="single" w:color="auto" w:sz="4" w:space="0"/>
            </w:tcBorders>
            <w:shd w:val="clear" w:color="auto" w:fill="auto"/>
            <w:noWrap/>
            <w:vAlign w:val="center"/>
          </w:tcPr>
          <w:p w14:paraId="2A7692F1"/>
        </w:tc>
        <w:tc>
          <w:tcPr>
            <w:tcW w:w="2540" w:type="dxa"/>
            <w:tcBorders>
              <w:top w:val="nil"/>
              <w:left w:val="nil"/>
              <w:bottom w:val="single" w:color="auto" w:sz="4" w:space="0"/>
              <w:right w:val="single" w:color="auto" w:sz="4" w:space="0"/>
            </w:tcBorders>
            <w:shd w:val="clear" w:color="auto" w:fill="auto"/>
            <w:vAlign w:val="center"/>
          </w:tcPr>
          <w:p w14:paraId="21EFF494">
            <w:r>
              <w:rPr>
                <w:rFonts w:hint="eastAsia"/>
              </w:rPr>
              <w:t>　</w:t>
            </w:r>
          </w:p>
        </w:tc>
      </w:tr>
      <w:tr w14:paraId="64CF92E9">
        <w:tblPrEx>
          <w:tblCellMar>
            <w:top w:w="0" w:type="dxa"/>
            <w:left w:w="108" w:type="dxa"/>
            <w:bottom w:w="0" w:type="dxa"/>
            <w:right w:w="108" w:type="dxa"/>
          </w:tblCellMar>
        </w:tblPrEx>
        <w:trPr>
          <w:trHeight w:val="312" w:hRule="atLeast"/>
          <w:jc w:val="center"/>
        </w:trPr>
        <w:tc>
          <w:tcPr>
            <w:tcW w:w="1336" w:type="dxa"/>
            <w:vMerge w:val="continue"/>
            <w:tcBorders>
              <w:top w:val="nil"/>
              <w:left w:val="single" w:color="auto" w:sz="4" w:space="0"/>
              <w:bottom w:val="single" w:color="auto" w:sz="4" w:space="0"/>
              <w:right w:val="single" w:color="auto" w:sz="4" w:space="0"/>
            </w:tcBorders>
            <w:vAlign w:val="center"/>
          </w:tcPr>
          <w:p w14:paraId="00DFBD17"/>
        </w:tc>
        <w:tc>
          <w:tcPr>
            <w:tcW w:w="3340" w:type="dxa"/>
            <w:tcBorders>
              <w:top w:val="nil"/>
              <w:left w:val="nil"/>
              <w:bottom w:val="single" w:color="auto" w:sz="4" w:space="0"/>
              <w:right w:val="single" w:color="auto" w:sz="4" w:space="0"/>
            </w:tcBorders>
            <w:shd w:val="clear" w:color="auto" w:fill="auto"/>
            <w:noWrap/>
            <w:vAlign w:val="center"/>
          </w:tcPr>
          <w:p w14:paraId="2265CFE2">
            <w:r>
              <w:rPr>
                <w:rFonts w:hint="eastAsia"/>
              </w:rPr>
              <w:t>计算机应用技术</w:t>
            </w:r>
          </w:p>
        </w:tc>
        <w:tc>
          <w:tcPr>
            <w:tcW w:w="700" w:type="dxa"/>
            <w:tcBorders>
              <w:top w:val="nil"/>
              <w:left w:val="nil"/>
              <w:bottom w:val="single" w:color="auto" w:sz="4" w:space="0"/>
              <w:right w:val="single" w:color="auto" w:sz="4" w:space="0"/>
            </w:tcBorders>
            <w:shd w:val="clear" w:color="auto" w:fill="auto"/>
            <w:noWrap/>
            <w:vAlign w:val="center"/>
          </w:tcPr>
          <w:p w14:paraId="36E4D13E">
            <w:r>
              <w:rPr>
                <w:rFonts w:hint="eastAsia"/>
              </w:rPr>
              <w:t>4600</w:t>
            </w:r>
          </w:p>
        </w:tc>
        <w:tc>
          <w:tcPr>
            <w:tcW w:w="1180" w:type="dxa"/>
            <w:tcBorders>
              <w:top w:val="nil"/>
              <w:left w:val="nil"/>
              <w:bottom w:val="single" w:color="auto" w:sz="4" w:space="0"/>
              <w:right w:val="single" w:color="auto" w:sz="4" w:space="0"/>
            </w:tcBorders>
            <w:shd w:val="clear" w:color="auto" w:fill="auto"/>
            <w:noWrap/>
            <w:vAlign w:val="center"/>
          </w:tcPr>
          <w:p w14:paraId="033C0916"/>
        </w:tc>
        <w:tc>
          <w:tcPr>
            <w:tcW w:w="2540" w:type="dxa"/>
            <w:tcBorders>
              <w:top w:val="nil"/>
              <w:left w:val="nil"/>
              <w:bottom w:val="single" w:color="auto" w:sz="4" w:space="0"/>
              <w:right w:val="single" w:color="auto" w:sz="4" w:space="0"/>
            </w:tcBorders>
            <w:shd w:val="clear" w:color="auto" w:fill="auto"/>
            <w:vAlign w:val="center"/>
          </w:tcPr>
          <w:p w14:paraId="31354CC9">
            <w:r>
              <w:rPr>
                <w:rFonts w:hint="eastAsia"/>
              </w:rPr>
              <w:t>　</w:t>
            </w:r>
          </w:p>
        </w:tc>
      </w:tr>
      <w:tr w14:paraId="25DE09FE">
        <w:tblPrEx>
          <w:tblCellMar>
            <w:top w:w="0" w:type="dxa"/>
            <w:left w:w="108" w:type="dxa"/>
            <w:bottom w:w="0" w:type="dxa"/>
            <w:right w:w="108" w:type="dxa"/>
          </w:tblCellMar>
        </w:tblPrEx>
        <w:trPr>
          <w:trHeight w:val="312" w:hRule="atLeast"/>
          <w:jc w:val="center"/>
        </w:trPr>
        <w:tc>
          <w:tcPr>
            <w:tcW w:w="1336" w:type="dxa"/>
            <w:vMerge w:val="restart"/>
            <w:tcBorders>
              <w:top w:val="nil"/>
              <w:left w:val="single" w:color="auto" w:sz="4" w:space="0"/>
              <w:bottom w:val="single" w:color="auto" w:sz="4" w:space="0"/>
              <w:right w:val="single" w:color="auto" w:sz="4" w:space="0"/>
            </w:tcBorders>
            <w:shd w:val="clear" w:color="auto" w:fill="auto"/>
            <w:noWrap/>
            <w:vAlign w:val="center"/>
          </w:tcPr>
          <w:p w14:paraId="0A43E7F6">
            <w:r>
              <w:rPr>
                <w:rFonts w:hint="eastAsia"/>
              </w:rPr>
              <w:t>专业分组C</w:t>
            </w:r>
          </w:p>
        </w:tc>
        <w:tc>
          <w:tcPr>
            <w:tcW w:w="3340" w:type="dxa"/>
            <w:tcBorders>
              <w:top w:val="nil"/>
              <w:left w:val="nil"/>
              <w:bottom w:val="single" w:color="auto" w:sz="4" w:space="0"/>
              <w:right w:val="single" w:color="auto" w:sz="4" w:space="0"/>
            </w:tcBorders>
            <w:shd w:val="clear" w:color="auto" w:fill="auto"/>
            <w:noWrap/>
            <w:vAlign w:val="center"/>
          </w:tcPr>
          <w:p w14:paraId="6A2690BF">
            <w:r>
              <w:rPr>
                <w:rFonts w:hint="eastAsia"/>
              </w:rPr>
              <w:t>现代农业装备应用技术</w:t>
            </w:r>
          </w:p>
        </w:tc>
        <w:tc>
          <w:tcPr>
            <w:tcW w:w="700" w:type="dxa"/>
            <w:tcBorders>
              <w:top w:val="nil"/>
              <w:left w:val="nil"/>
              <w:bottom w:val="single" w:color="auto" w:sz="4" w:space="0"/>
              <w:right w:val="single" w:color="auto" w:sz="4" w:space="0"/>
            </w:tcBorders>
            <w:shd w:val="clear" w:color="auto" w:fill="auto"/>
            <w:noWrap/>
            <w:vAlign w:val="center"/>
          </w:tcPr>
          <w:p w14:paraId="648BDB0F">
            <w:r>
              <w:rPr>
                <w:rFonts w:hint="eastAsia"/>
              </w:rPr>
              <w:t>3000</w:t>
            </w:r>
          </w:p>
        </w:tc>
        <w:tc>
          <w:tcPr>
            <w:tcW w:w="1180" w:type="dxa"/>
            <w:tcBorders>
              <w:top w:val="nil"/>
              <w:left w:val="nil"/>
              <w:bottom w:val="single" w:color="auto" w:sz="4" w:space="0"/>
              <w:right w:val="single" w:color="auto" w:sz="4" w:space="0"/>
            </w:tcBorders>
            <w:shd w:val="clear" w:color="auto" w:fill="auto"/>
            <w:noWrap/>
            <w:vAlign w:val="center"/>
          </w:tcPr>
          <w:p w14:paraId="645FA8F6"/>
        </w:tc>
        <w:tc>
          <w:tcPr>
            <w:tcW w:w="2540" w:type="dxa"/>
            <w:tcBorders>
              <w:top w:val="nil"/>
              <w:left w:val="nil"/>
              <w:bottom w:val="single" w:color="auto" w:sz="4" w:space="0"/>
              <w:right w:val="single" w:color="auto" w:sz="4" w:space="0"/>
            </w:tcBorders>
            <w:shd w:val="clear" w:color="auto" w:fill="auto"/>
            <w:vAlign w:val="center"/>
          </w:tcPr>
          <w:p w14:paraId="44E1CF64">
            <w:r>
              <w:rPr>
                <w:rFonts w:hint="eastAsia"/>
              </w:rPr>
              <w:t>　</w:t>
            </w:r>
          </w:p>
        </w:tc>
      </w:tr>
      <w:tr w14:paraId="17301F39">
        <w:tblPrEx>
          <w:tblCellMar>
            <w:top w:w="0" w:type="dxa"/>
            <w:left w:w="108" w:type="dxa"/>
            <w:bottom w:w="0" w:type="dxa"/>
            <w:right w:w="108" w:type="dxa"/>
          </w:tblCellMar>
        </w:tblPrEx>
        <w:trPr>
          <w:trHeight w:val="312" w:hRule="atLeast"/>
          <w:jc w:val="center"/>
        </w:trPr>
        <w:tc>
          <w:tcPr>
            <w:tcW w:w="1336" w:type="dxa"/>
            <w:vMerge w:val="continue"/>
            <w:tcBorders>
              <w:top w:val="nil"/>
              <w:left w:val="single" w:color="auto" w:sz="4" w:space="0"/>
              <w:bottom w:val="single" w:color="auto" w:sz="4" w:space="0"/>
              <w:right w:val="single" w:color="auto" w:sz="4" w:space="0"/>
            </w:tcBorders>
            <w:vAlign w:val="center"/>
          </w:tcPr>
          <w:p w14:paraId="523226DF"/>
        </w:tc>
        <w:tc>
          <w:tcPr>
            <w:tcW w:w="3340" w:type="dxa"/>
            <w:tcBorders>
              <w:top w:val="nil"/>
              <w:left w:val="nil"/>
              <w:bottom w:val="single" w:color="auto" w:sz="4" w:space="0"/>
              <w:right w:val="single" w:color="auto" w:sz="4" w:space="0"/>
            </w:tcBorders>
            <w:shd w:val="clear" w:color="auto" w:fill="auto"/>
            <w:noWrap/>
            <w:vAlign w:val="center"/>
          </w:tcPr>
          <w:p w14:paraId="690A0B6E">
            <w:r>
              <w:rPr>
                <w:rFonts w:hint="eastAsia"/>
              </w:rPr>
              <w:t>汽车检测与维修技术</w:t>
            </w:r>
          </w:p>
        </w:tc>
        <w:tc>
          <w:tcPr>
            <w:tcW w:w="700" w:type="dxa"/>
            <w:tcBorders>
              <w:top w:val="nil"/>
              <w:left w:val="nil"/>
              <w:bottom w:val="single" w:color="auto" w:sz="4" w:space="0"/>
              <w:right w:val="single" w:color="auto" w:sz="4" w:space="0"/>
            </w:tcBorders>
            <w:shd w:val="clear" w:color="auto" w:fill="auto"/>
            <w:noWrap/>
            <w:vAlign w:val="center"/>
          </w:tcPr>
          <w:p w14:paraId="416573AC">
            <w:r>
              <w:rPr>
                <w:rFonts w:hint="eastAsia"/>
              </w:rPr>
              <w:t>4600</w:t>
            </w:r>
          </w:p>
        </w:tc>
        <w:tc>
          <w:tcPr>
            <w:tcW w:w="1180" w:type="dxa"/>
            <w:tcBorders>
              <w:top w:val="nil"/>
              <w:left w:val="nil"/>
              <w:bottom w:val="single" w:color="auto" w:sz="4" w:space="0"/>
              <w:right w:val="single" w:color="auto" w:sz="4" w:space="0"/>
            </w:tcBorders>
            <w:shd w:val="clear" w:color="auto" w:fill="auto"/>
            <w:noWrap/>
            <w:vAlign w:val="center"/>
          </w:tcPr>
          <w:p w14:paraId="6C1358DC"/>
        </w:tc>
        <w:tc>
          <w:tcPr>
            <w:tcW w:w="2540" w:type="dxa"/>
            <w:tcBorders>
              <w:top w:val="nil"/>
              <w:left w:val="nil"/>
              <w:bottom w:val="single" w:color="auto" w:sz="4" w:space="0"/>
              <w:right w:val="single" w:color="auto" w:sz="4" w:space="0"/>
            </w:tcBorders>
            <w:shd w:val="clear" w:color="auto" w:fill="auto"/>
            <w:vAlign w:val="center"/>
          </w:tcPr>
          <w:p w14:paraId="3D44E5C9">
            <w:r>
              <w:rPr>
                <w:rFonts w:hint="eastAsia"/>
              </w:rPr>
              <w:t>　</w:t>
            </w:r>
          </w:p>
        </w:tc>
      </w:tr>
      <w:tr w14:paraId="37E01C94">
        <w:tblPrEx>
          <w:tblCellMar>
            <w:top w:w="0" w:type="dxa"/>
            <w:left w:w="108" w:type="dxa"/>
            <w:bottom w:w="0" w:type="dxa"/>
            <w:right w:w="108" w:type="dxa"/>
          </w:tblCellMar>
        </w:tblPrEx>
        <w:trPr>
          <w:trHeight w:val="312" w:hRule="atLeast"/>
          <w:jc w:val="center"/>
        </w:trPr>
        <w:tc>
          <w:tcPr>
            <w:tcW w:w="1336" w:type="dxa"/>
            <w:vMerge w:val="continue"/>
            <w:tcBorders>
              <w:top w:val="nil"/>
              <w:left w:val="single" w:color="auto" w:sz="4" w:space="0"/>
              <w:bottom w:val="single" w:color="auto" w:sz="4" w:space="0"/>
              <w:right w:val="single" w:color="auto" w:sz="4" w:space="0"/>
            </w:tcBorders>
            <w:vAlign w:val="center"/>
          </w:tcPr>
          <w:p w14:paraId="2C2A80F6"/>
        </w:tc>
        <w:tc>
          <w:tcPr>
            <w:tcW w:w="3340" w:type="dxa"/>
            <w:tcBorders>
              <w:top w:val="nil"/>
              <w:left w:val="nil"/>
              <w:bottom w:val="single" w:color="auto" w:sz="4" w:space="0"/>
              <w:right w:val="single" w:color="auto" w:sz="4" w:space="0"/>
            </w:tcBorders>
            <w:shd w:val="clear" w:color="auto" w:fill="auto"/>
            <w:noWrap/>
            <w:vAlign w:val="center"/>
          </w:tcPr>
          <w:p w14:paraId="75A21A22">
            <w:r>
              <w:rPr>
                <w:rFonts w:hint="eastAsia"/>
              </w:rPr>
              <w:t>汽车智能技术</w:t>
            </w:r>
          </w:p>
        </w:tc>
        <w:tc>
          <w:tcPr>
            <w:tcW w:w="700" w:type="dxa"/>
            <w:tcBorders>
              <w:top w:val="nil"/>
              <w:left w:val="nil"/>
              <w:bottom w:val="single" w:color="auto" w:sz="4" w:space="0"/>
              <w:right w:val="single" w:color="auto" w:sz="4" w:space="0"/>
            </w:tcBorders>
            <w:shd w:val="clear" w:color="auto" w:fill="auto"/>
            <w:noWrap/>
            <w:vAlign w:val="center"/>
          </w:tcPr>
          <w:p w14:paraId="66D1701A">
            <w:r>
              <w:rPr>
                <w:rFonts w:hint="eastAsia"/>
              </w:rPr>
              <w:t>4600</w:t>
            </w:r>
          </w:p>
        </w:tc>
        <w:tc>
          <w:tcPr>
            <w:tcW w:w="1180" w:type="dxa"/>
            <w:tcBorders>
              <w:top w:val="nil"/>
              <w:left w:val="nil"/>
              <w:bottom w:val="single" w:color="auto" w:sz="4" w:space="0"/>
              <w:right w:val="single" w:color="auto" w:sz="4" w:space="0"/>
            </w:tcBorders>
            <w:shd w:val="clear" w:color="auto" w:fill="auto"/>
            <w:noWrap/>
            <w:vAlign w:val="center"/>
          </w:tcPr>
          <w:p w14:paraId="0BC68910"/>
        </w:tc>
        <w:tc>
          <w:tcPr>
            <w:tcW w:w="2540" w:type="dxa"/>
            <w:tcBorders>
              <w:top w:val="nil"/>
              <w:left w:val="nil"/>
              <w:bottom w:val="single" w:color="auto" w:sz="4" w:space="0"/>
              <w:right w:val="single" w:color="auto" w:sz="4" w:space="0"/>
            </w:tcBorders>
            <w:shd w:val="clear" w:color="auto" w:fill="auto"/>
            <w:vAlign w:val="center"/>
          </w:tcPr>
          <w:p w14:paraId="5A84E8B4">
            <w:r>
              <w:rPr>
                <w:rFonts w:hint="eastAsia"/>
              </w:rPr>
              <w:t>　</w:t>
            </w:r>
          </w:p>
        </w:tc>
      </w:tr>
      <w:tr w14:paraId="07F503BD">
        <w:tblPrEx>
          <w:tblCellMar>
            <w:top w:w="0" w:type="dxa"/>
            <w:left w:w="108" w:type="dxa"/>
            <w:bottom w:w="0" w:type="dxa"/>
            <w:right w:w="108" w:type="dxa"/>
          </w:tblCellMar>
        </w:tblPrEx>
        <w:trPr>
          <w:trHeight w:val="312" w:hRule="atLeast"/>
          <w:jc w:val="center"/>
        </w:trPr>
        <w:tc>
          <w:tcPr>
            <w:tcW w:w="1336" w:type="dxa"/>
            <w:vMerge w:val="continue"/>
            <w:tcBorders>
              <w:top w:val="nil"/>
              <w:left w:val="single" w:color="auto" w:sz="4" w:space="0"/>
              <w:bottom w:val="single" w:color="auto" w:sz="4" w:space="0"/>
              <w:right w:val="single" w:color="auto" w:sz="4" w:space="0"/>
            </w:tcBorders>
            <w:vAlign w:val="center"/>
          </w:tcPr>
          <w:p w14:paraId="2BB535C7"/>
        </w:tc>
        <w:tc>
          <w:tcPr>
            <w:tcW w:w="3340" w:type="dxa"/>
            <w:tcBorders>
              <w:top w:val="nil"/>
              <w:left w:val="nil"/>
              <w:bottom w:val="single" w:color="auto" w:sz="4" w:space="0"/>
              <w:right w:val="single" w:color="auto" w:sz="4" w:space="0"/>
            </w:tcBorders>
            <w:shd w:val="clear" w:color="auto" w:fill="auto"/>
            <w:noWrap/>
            <w:vAlign w:val="center"/>
          </w:tcPr>
          <w:p w14:paraId="61DCEF3A">
            <w:r>
              <w:rPr>
                <w:rFonts w:hint="eastAsia"/>
              </w:rPr>
              <w:t>工程造价</w:t>
            </w:r>
          </w:p>
        </w:tc>
        <w:tc>
          <w:tcPr>
            <w:tcW w:w="700" w:type="dxa"/>
            <w:tcBorders>
              <w:top w:val="nil"/>
              <w:left w:val="nil"/>
              <w:bottom w:val="single" w:color="auto" w:sz="4" w:space="0"/>
              <w:right w:val="single" w:color="auto" w:sz="4" w:space="0"/>
            </w:tcBorders>
            <w:shd w:val="clear" w:color="auto" w:fill="auto"/>
            <w:noWrap/>
            <w:vAlign w:val="center"/>
          </w:tcPr>
          <w:p w14:paraId="73D27F66">
            <w:r>
              <w:rPr>
                <w:rFonts w:hint="eastAsia"/>
              </w:rPr>
              <w:t>4600</w:t>
            </w:r>
          </w:p>
        </w:tc>
        <w:tc>
          <w:tcPr>
            <w:tcW w:w="1180" w:type="dxa"/>
            <w:tcBorders>
              <w:top w:val="nil"/>
              <w:left w:val="nil"/>
              <w:bottom w:val="single" w:color="auto" w:sz="4" w:space="0"/>
              <w:right w:val="single" w:color="auto" w:sz="4" w:space="0"/>
            </w:tcBorders>
            <w:shd w:val="clear" w:color="auto" w:fill="auto"/>
            <w:noWrap/>
            <w:vAlign w:val="center"/>
          </w:tcPr>
          <w:p w14:paraId="6D6E6B81"/>
        </w:tc>
        <w:tc>
          <w:tcPr>
            <w:tcW w:w="2540" w:type="dxa"/>
            <w:tcBorders>
              <w:top w:val="nil"/>
              <w:left w:val="nil"/>
              <w:bottom w:val="single" w:color="auto" w:sz="4" w:space="0"/>
              <w:right w:val="single" w:color="auto" w:sz="4" w:space="0"/>
            </w:tcBorders>
            <w:shd w:val="clear" w:color="auto" w:fill="auto"/>
            <w:vAlign w:val="center"/>
          </w:tcPr>
          <w:p w14:paraId="401F3304">
            <w:r>
              <w:rPr>
                <w:rFonts w:hint="eastAsia"/>
              </w:rPr>
              <w:t>　</w:t>
            </w:r>
          </w:p>
        </w:tc>
      </w:tr>
      <w:tr w14:paraId="3BD6D0D0">
        <w:tblPrEx>
          <w:tblCellMar>
            <w:top w:w="0" w:type="dxa"/>
            <w:left w:w="108" w:type="dxa"/>
            <w:bottom w:w="0" w:type="dxa"/>
            <w:right w:w="108" w:type="dxa"/>
          </w:tblCellMar>
        </w:tblPrEx>
        <w:trPr>
          <w:trHeight w:val="312" w:hRule="atLeast"/>
          <w:jc w:val="center"/>
        </w:trPr>
        <w:tc>
          <w:tcPr>
            <w:tcW w:w="1336" w:type="dxa"/>
            <w:vMerge w:val="continue"/>
            <w:tcBorders>
              <w:top w:val="nil"/>
              <w:left w:val="single" w:color="auto" w:sz="4" w:space="0"/>
              <w:bottom w:val="single" w:color="auto" w:sz="4" w:space="0"/>
              <w:right w:val="single" w:color="auto" w:sz="4" w:space="0"/>
            </w:tcBorders>
            <w:vAlign w:val="center"/>
          </w:tcPr>
          <w:p w14:paraId="5D9D109F"/>
        </w:tc>
        <w:tc>
          <w:tcPr>
            <w:tcW w:w="3340" w:type="dxa"/>
            <w:tcBorders>
              <w:top w:val="nil"/>
              <w:left w:val="nil"/>
              <w:bottom w:val="single" w:color="auto" w:sz="4" w:space="0"/>
              <w:right w:val="single" w:color="auto" w:sz="4" w:space="0"/>
            </w:tcBorders>
            <w:shd w:val="clear" w:color="auto" w:fill="auto"/>
            <w:noWrap/>
            <w:vAlign w:val="center"/>
          </w:tcPr>
          <w:p w14:paraId="6D938EFB">
            <w:r>
              <w:rPr>
                <w:rFonts w:hint="eastAsia"/>
              </w:rPr>
              <w:t>建筑工程技术</w:t>
            </w:r>
          </w:p>
        </w:tc>
        <w:tc>
          <w:tcPr>
            <w:tcW w:w="700" w:type="dxa"/>
            <w:tcBorders>
              <w:top w:val="nil"/>
              <w:left w:val="nil"/>
              <w:bottom w:val="single" w:color="auto" w:sz="4" w:space="0"/>
              <w:right w:val="single" w:color="auto" w:sz="4" w:space="0"/>
            </w:tcBorders>
            <w:shd w:val="clear" w:color="auto" w:fill="auto"/>
            <w:noWrap/>
            <w:vAlign w:val="center"/>
          </w:tcPr>
          <w:p w14:paraId="50E1309D">
            <w:r>
              <w:rPr>
                <w:rFonts w:hint="eastAsia"/>
              </w:rPr>
              <w:t>4600</w:t>
            </w:r>
          </w:p>
        </w:tc>
        <w:tc>
          <w:tcPr>
            <w:tcW w:w="1180" w:type="dxa"/>
            <w:tcBorders>
              <w:top w:val="nil"/>
              <w:left w:val="nil"/>
              <w:bottom w:val="single" w:color="auto" w:sz="4" w:space="0"/>
              <w:right w:val="single" w:color="auto" w:sz="4" w:space="0"/>
            </w:tcBorders>
            <w:shd w:val="clear" w:color="auto" w:fill="auto"/>
            <w:noWrap/>
            <w:vAlign w:val="center"/>
          </w:tcPr>
          <w:p w14:paraId="6A12D392"/>
        </w:tc>
        <w:tc>
          <w:tcPr>
            <w:tcW w:w="2540" w:type="dxa"/>
            <w:tcBorders>
              <w:top w:val="nil"/>
              <w:left w:val="nil"/>
              <w:bottom w:val="single" w:color="auto" w:sz="4" w:space="0"/>
              <w:right w:val="single" w:color="auto" w:sz="4" w:space="0"/>
            </w:tcBorders>
            <w:shd w:val="clear" w:color="auto" w:fill="auto"/>
            <w:vAlign w:val="center"/>
          </w:tcPr>
          <w:p w14:paraId="6F4B6E63">
            <w:r>
              <w:rPr>
                <w:rFonts w:hint="eastAsia"/>
              </w:rPr>
              <w:t>　</w:t>
            </w:r>
          </w:p>
        </w:tc>
      </w:tr>
      <w:tr w14:paraId="7773B4ED">
        <w:tblPrEx>
          <w:tblCellMar>
            <w:top w:w="0" w:type="dxa"/>
            <w:left w:w="108" w:type="dxa"/>
            <w:bottom w:w="0" w:type="dxa"/>
            <w:right w:w="108" w:type="dxa"/>
          </w:tblCellMar>
        </w:tblPrEx>
        <w:trPr>
          <w:trHeight w:val="312" w:hRule="atLeast"/>
          <w:jc w:val="center"/>
        </w:trPr>
        <w:tc>
          <w:tcPr>
            <w:tcW w:w="1336" w:type="dxa"/>
            <w:vMerge w:val="continue"/>
            <w:tcBorders>
              <w:top w:val="nil"/>
              <w:left w:val="single" w:color="auto" w:sz="4" w:space="0"/>
              <w:bottom w:val="single" w:color="auto" w:sz="4" w:space="0"/>
              <w:right w:val="single" w:color="auto" w:sz="4" w:space="0"/>
            </w:tcBorders>
            <w:vAlign w:val="center"/>
          </w:tcPr>
          <w:p w14:paraId="3B15975A"/>
        </w:tc>
        <w:tc>
          <w:tcPr>
            <w:tcW w:w="3340" w:type="dxa"/>
            <w:tcBorders>
              <w:top w:val="nil"/>
              <w:left w:val="nil"/>
              <w:bottom w:val="single" w:color="auto" w:sz="4" w:space="0"/>
              <w:right w:val="single" w:color="auto" w:sz="4" w:space="0"/>
            </w:tcBorders>
            <w:shd w:val="clear" w:color="auto" w:fill="auto"/>
            <w:noWrap/>
            <w:vAlign w:val="center"/>
          </w:tcPr>
          <w:p w14:paraId="465C1EBA">
            <w:r>
              <w:rPr>
                <w:rFonts w:hint="eastAsia"/>
              </w:rPr>
              <w:t>园林工程技术</w:t>
            </w:r>
          </w:p>
        </w:tc>
        <w:tc>
          <w:tcPr>
            <w:tcW w:w="700" w:type="dxa"/>
            <w:tcBorders>
              <w:top w:val="nil"/>
              <w:left w:val="nil"/>
              <w:bottom w:val="single" w:color="auto" w:sz="4" w:space="0"/>
              <w:right w:val="single" w:color="auto" w:sz="4" w:space="0"/>
            </w:tcBorders>
            <w:shd w:val="clear" w:color="auto" w:fill="auto"/>
            <w:noWrap/>
            <w:vAlign w:val="center"/>
          </w:tcPr>
          <w:p w14:paraId="5713A6E7">
            <w:r>
              <w:rPr>
                <w:rFonts w:hint="eastAsia"/>
              </w:rPr>
              <w:t>4600</w:t>
            </w:r>
          </w:p>
        </w:tc>
        <w:tc>
          <w:tcPr>
            <w:tcW w:w="1180" w:type="dxa"/>
            <w:tcBorders>
              <w:top w:val="nil"/>
              <w:left w:val="nil"/>
              <w:bottom w:val="single" w:color="auto" w:sz="4" w:space="0"/>
              <w:right w:val="single" w:color="auto" w:sz="4" w:space="0"/>
            </w:tcBorders>
            <w:shd w:val="clear" w:color="auto" w:fill="auto"/>
            <w:noWrap/>
            <w:vAlign w:val="center"/>
          </w:tcPr>
          <w:p w14:paraId="27F6C3E3"/>
        </w:tc>
        <w:tc>
          <w:tcPr>
            <w:tcW w:w="2540" w:type="dxa"/>
            <w:tcBorders>
              <w:top w:val="nil"/>
              <w:left w:val="nil"/>
              <w:bottom w:val="single" w:color="auto" w:sz="4" w:space="0"/>
              <w:right w:val="single" w:color="auto" w:sz="4" w:space="0"/>
            </w:tcBorders>
            <w:shd w:val="clear" w:color="auto" w:fill="auto"/>
            <w:vAlign w:val="center"/>
          </w:tcPr>
          <w:p w14:paraId="40C59862">
            <w:r>
              <w:rPr>
                <w:rFonts w:hint="eastAsia"/>
              </w:rPr>
              <w:t>　</w:t>
            </w:r>
          </w:p>
        </w:tc>
      </w:tr>
      <w:tr w14:paraId="2B1939DB">
        <w:tblPrEx>
          <w:tblCellMar>
            <w:top w:w="0" w:type="dxa"/>
            <w:left w:w="108" w:type="dxa"/>
            <w:bottom w:w="0" w:type="dxa"/>
            <w:right w:w="108" w:type="dxa"/>
          </w:tblCellMar>
        </w:tblPrEx>
        <w:trPr>
          <w:trHeight w:val="312" w:hRule="atLeast"/>
          <w:jc w:val="center"/>
        </w:trPr>
        <w:tc>
          <w:tcPr>
            <w:tcW w:w="1336" w:type="dxa"/>
            <w:vMerge w:val="continue"/>
            <w:tcBorders>
              <w:top w:val="nil"/>
              <w:left w:val="single" w:color="auto" w:sz="4" w:space="0"/>
              <w:bottom w:val="single" w:color="auto" w:sz="4" w:space="0"/>
              <w:right w:val="single" w:color="auto" w:sz="4" w:space="0"/>
            </w:tcBorders>
            <w:vAlign w:val="center"/>
          </w:tcPr>
          <w:p w14:paraId="2CF0D352"/>
        </w:tc>
        <w:tc>
          <w:tcPr>
            <w:tcW w:w="3340" w:type="dxa"/>
            <w:tcBorders>
              <w:top w:val="nil"/>
              <w:left w:val="nil"/>
              <w:bottom w:val="single" w:color="auto" w:sz="4" w:space="0"/>
              <w:right w:val="single" w:color="auto" w:sz="4" w:space="0"/>
            </w:tcBorders>
            <w:shd w:val="clear" w:color="auto" w:fill="auto"/>
            <w:noWrap/>
            <w:vAlign w:val="center"/>
          </w:tcPr>
          <w:p w14:paraId="2DE7C7EF">
            <w:r>
              <w:rPr>
                <w:rFonts w:hint="eastAsia"/>
              </w:rPr>
              <w:t>环境艺术设计</w:t>
            </w:r>
          </w:p>
        </w:tc>
        <w:tc>
          <w:tcPr>
            <w:tcW w:w="700" w:type="dxa"/>
            <w:tcBorders>
              <w:top w:val="nil"/>
              <w:left w:val="nil"/>
              <w:bottom w:val="single" w:color="auto" w:sz="4" w:space="0"/>
              <w:right w:val="single" w:color="auto" w:sz="4" w:space="0"/>
            </w:tcBorders>
            <w:shd w:val="clear" w:color="auto" w:fill="auto"/>
            <w:noWrap/>
            <w:vAlign w:val="center"/>
          </w:tcPr>
          <w:p w14:paraId="2FEDD8D1">
            <w:r>
              <w:rPr>
                <w:rFonts w:hint="eastAsia"/>
              </w:rPr>
              <w:t>4600</w:t>
            </w:r>
          </w:p>
        </w:tc>
        <w:tc>
          <w:tcPr>
            <w:tcW w:w="1180" w:type="dxa"/>
            <w:tcBorders>
              <w:top w:val="nil"/>
              <w:left w:val="nil"/>
              <w:bottom w:val="single" w:color="auto" w:sz="4" w:space="0"/>
              <w:right w:val="single" w:color="auto" w:sz="4" w:space="0"/>
            </w:tcBorders>
            <w:shd w:val="clear" w:color="auto" w:fill="auto"/>
            <w:noWrap/>
            <w:vAlign w:val="center"/>
          </w:tcPr>
          <w:p w14:paraId="52A39E38"/>
        </w:tc>
        <w:tc>
          <w:tcPr>
            <w:tcW w:w="2540" w:type="dxa"/>
            <w:tcBorders>
              <w:top w:val="nil"/>
              <w:left w:val="nil"/>
              <w:bottom w:val="single" w:color="auto" w:sz="4" w:space="0"/>
              <w:right w:val="single" w:color="auto" w:sz="4" w:space="0"/>
            </w:tcBorders>
            <w:shd w:val="clear" w:color="auto" w:fill="auto"/>
            <w:vAlign w:val="center"/>
          </w:tcPr>
          <w:p w14:paraId="69F9B171">
            <w:r>
              <w:rPr>
                <w:rFonts w:hint="eastAsia"/>
              </w:rPr>
              <w:t>　</w:t>
            </w:r>
          </w:p>
        </w:tc>
      </w:tr>
      <w:tr w14:paraId="57DCB215">
        <w:tblPrEx>
          <w:tblCellMar>
            <w:top w:w="0" w:type="dxa"/>
            <w:left w:w="108" w:type="dxa"/>
            <w:bottom w:w="0" w:type="dxa"/>
            <w:right w:w="108" w:type="dxa"/>
          </w:tblCellMar>
        </w:tblPrEx>
        <w:trPr>
          <w:trHeight w:val="312" w:hRule="atLeast"/>
          <w:jc w:val="center"/>
        </w:trPr>
        <w:tc>
          <w:tcPr>
            <w:tcW w:w="1336" w:type="dxa"/>
            <w:vMerge w:val="continue"/>
            <w:tcBorders>
              <w:top w:val="nil"/>
              <w:left w:val="single" w:color="auto" w:sz="4" w:space="0"/>
              <w:bottom w:val="single" w:color="auto" w:sz="4" w:space="0"/>
              <w:right w:val="single" w:color="auto" w:sz="4" w:space="0"/>
            </w:tcBorders>
            <w:vAlign w:val="center"/>
          </w:tcPr>
          <w:p w14:paraId="01CD5F6D"/>
        </w:tc>
        <w:tc>
          <w:tcPr>
            <w:tcW w:w="3340" w:type="dxa"/>
            <w:tcBorders>
              <w:top w:val="nil"/>
              <w:left w:val="nil"/>
              <w:bottom w:val="single" w:color="auto" w:sz="4" w:space="0"/>
              <w:right w:val="single" w:color="auto" w:sz="4" w:space="0"/>
            </w:tcBorders>
            <w:shd w:val="clear" w:color="auto" w:fill="auto"/>
            <w:noWrap/>
            <w:vAlign w:val="center"/>
          </w:tcPr>
          <w:p w14:paraId="3ED29C68">
            <w:r>
              <w:rPr>
                <w:rFonts w:hint="eastAsia"/>
              </w:rPr>
              <w:t>室内艺术设计</w:t>
            </w:r>
          </w:p>
        </w:tc>
        <w:tc>
          <w:tcPr>
            <w:tcW w:w="700" w:type="dxa"/>
            <w:tcBorders>
              <w:top w:val="nil"/>
              <w:left w:val="nil"/>
              <w:bottom w:val="single" w:color="auto" w:sz="4" w:space="0"/>
              <w:right w:val="single" w:color="auto" w:sz="4" w:space="0"/>
            </w:tcBorders>
            <w:shd w:val="clear" w:color="auto" w:fill="auto"/>
            <w:noWrap/>
            <w:vAlign w:val="center"/>
          </w:tcPr>
          <w:p w14:paraId="30C72A62">
            <w:r>
              <w:rPr>
                <w:rFonts w:hint="eastAsia"/>
              </w:rPr>
              <w:t>4600</w:t>
            </w:r>
          </w:p>
        </w:tc>
        <w:tc>
          <w:tcPr>
            <w:tcW w:w="1180" w:type="dxa"/>
            <w:tcBorders>
              <w:top w:val="nil"/>
              <w:left w:val="nil"/>
              <w:bottom w:val="single" w:color="auto" w:sz="4" w:space="0"/>
              <w:right w:val="single" w:color="auto" w:sz="4" w:space="0"/>
            </w:tcBorders>
            <w:shd w:val="clear" w:color="auto" w:fill="auto"/>
            <w:noWrap/>
            <w:vAlign w:val="center"/>
          </w:tcPr>
          <w:p w14:paraId="63B1D1F5"/>
        </w:tc>
        <w:tc>
          <w:tcPr>
            <w:tcW w:w="2540" w:type="dxa"/>
            <w:tcBorders>
              <w:top w:val="nil"/>
              <w:left w:val="nil"/>
              <w:bottom w:val="single" w:color="auto" w:sz="4" w:space="0"/>
              <w:right w:val="single" w:color="auto" w:sz="4" w:space="0"/>
            </w:tcBorders>
            <w:shd w:val="clear" w:color="auto" w:fill="auto"/>
            <w:vAlign w:val="center"/>
          </w:tcPr>
          <w:p w14:paraId="37D09479">
            <w:r>
              <w:rPr>
                <w:rFonts w:hint="eastAsia"/>
              </w:rPr>
              <w:t>　</w:t>
            </w:r>
          </w:p>
        </w:tc>
      </w:tr>
      <w:tr w14:paraId="555E26FA">
        <w:tblPrEx>
          <w:tblCellMar>
            <w:top w:w="0" w:type="dxa"/>
            <w:left w:w="108" w:type="dxa"/>
            <w:bottom w:w="0" w:type="dxa"/>
            <w:right w:w="108" w:type="dxa"/>
          </w:tblCellMar>
        </w:tblPrEx>
        <w:trPr>
          <w:trHeight w:val="312" w:hRule="atLeast"/>
          <w:jc w:val="center"/>
        </w:trPr>
        <w:tc>
          <w:tcPr>
            <w:tcW w:w="1336" w:type="dxa"/>
            <w:vMerge w:val="restart"/>
            <w:tcBorders>
              <w:top w:val="nil"/>
              <w:left w:val="single" w:color="auto" w:sz="4" w:space="0"/>
              <w:bottom w:val="single" w:color="auto" w:sz="4" w:space="0"/>
              <w:right w:val="single" w:color="auto" w:sz="4" w:space="0"/>
            </w:tcBorders>
            <w:shd w:val="clear" w:color="auto" w:fill="auto"/>
            <w:noWrap/>
            <w:vAlign w:val="center"/>
          </w:tcPr>
          <w:p w14:paraId="48A8BE73">
            <w:r>
              <w:rPr>
                <w:rFonts w:hint="eastAsia"/>
              </w:rPr>
              <w:t>专业分组D</w:t>
            </w:r>
          </w:p>
        </w:tc>
        <w:tc>
          <w:tcPr>
            <w:tcW w:w="3340" w:type="dxa"/>
            <w:tcBorders>
              <w:top w:val="nil"/>
              <w:left w:val="nil"/>
              <w:bottom w:val="single" w:color="auto" w:sz="4" w:space="0"/>
              <w:right w:val="single" w:color="auto" w:sz="4" w:space="0"/>
            </w:tcBorders>
            <w:shd w:val="clear" w:color="auto" w:fill="auto"/>
            <w:noWrap/>
            <w:vAlign w:val="center"/>
          </w:tcPr>
          <w:p w14:paraId="0C9F0E0F">
            <w:r>
              <w:rPr>
                <w:rFonts w:hint="eastAsia"/>
              </w:rPr>
              <w:t>大数据与会计</w:t>
            </w:r>
          </w:p>
        </w:tc>
        <w:tc>
          <w:tcPr>
            <w:tcW w:w="700" w:type="dxa"/>
            <w:tcBorders>
              <w:top w:val="nil"/>
              <w:left w:val="nil"/>
              <w:bottom w:val="single" w:color="auto" w:sz="4" w:space="0"/>
              <w:right w:val="single" w:color="auto" w:sz="4" w:space="0"/>
            </w:tcBorders>
            <w:shd w:val="clear" w:color="auto" w:fill="auto"/>
            <w:noWrap/>
            <w:vAlign w:val="center"/>
          </w:tcPr>
          <w:p w14:paraId="4CEB057A">
            <w:r>
              <w:rPr>
                <w:rFonts w:hint="eastAsia"/>
              </w:rPr>
              <w:t>3500</w:t>
            </w:r>
          </w:p>
        </w:tc>
        <w:tc>
          <w:tcPr>
            <w:tcW w:w="1180" w:type="dxa"/>
            <w:tcBorders>
              <w:top w:val="nil"/>
              <w:left w:val="nil"/>
              <w:bottom w:val="single" w:color="auto" w:sz="4" w:space="0"/>
              <w:right w:val="single" w:color="auto" w:sz="4" w:space="0"/>
            </w:tcBorders>
            <w:shd w:val="clear" w:color="auto" w:fill="auto"/>
            <w:noWrap/>
            <w:vAlign w:val="center"/>
          </w:tcPr>
          <w:p w14:paraId="6F3E03B7"/>
        </w:tc>
        <w:tc>
          <w:tcPr>
            <w:tcW w:w="2540" w:type="dxa"/>
            <w:tcBorders>
              <w:top w:val="nil"/>
              <w:left w:val="nil"/>
              <w:bottom w:val="single" w:color="auto" w:sz="4" w:space="0"/>
              <w:right w:val="single" w:color="auto" w:sz="4" w:space="0"/>
            </w:tcBorders>
            <w:shd w:val="clear" w:color="auto" w:fill="auto"/>
            <w:vAlign w:val="center"/>
          </w:tcPr>
          <w:p w14:paraId="392180FC">
            <w:r>
              <w:rPr>
                <w:rFonts w:hint="eastAsia"/>
              </w:rPr>
              <w:t>　</w:t>
            </w:r>
          </w:p>
        </w:tc>
      </w:tr>
      <w:tr w14:paraId="2CB36AAF">
        <w:tblPrEx>
          <w:tblCellMar>
            <w:top w:w="0" w:type="dxa"/>
            <w:left w:w="108" w:type="dxa"/>
            <w:bottom w:w="0" w:type="dxa"/>
            <w:right w:w="108" w:type="dxa"/>
          </w:tblCellMar>
        </w:tblPrEx>
        <w:trPr>
          <w:trHeight w:val="312" w:hRule="atLeast"/>
          <w:jc w:val="center"/>
        </w:trPr>
        <w:tc>
          <w:tcPr>
            <w:tcW w:w="1336" w:type="dxa"/>
            <w:vMerge w:val="continue"/>
            <w:tcBorders>
              <w:top w:val="nil"/>
              <w:left w:val="single" w:color="auto" w:sz="4" w:space="0"/>
              <w:bottom w:val="single" w:color="auto" w:sz="4" w:space="0"/>
              <w:right w:val="single" w:color="auto" w:sz="4" w:space="0"/>
            </w:tcBorders>
            <w:vAlign w:val="center"/>
          </w:tcPr>
          <w:p w14:paraId="180A2016"/>
        </w:tc>
        <w:tc>
          <w:tcPr>
            <w:tcW w:w="3340" w:type="dxa"/>
            <w:tcBorders>
              <w:top w:val="nil"/>
              <w:left w:val="nil"/>
              <w:bottom w:val="single" w:color="auto" w:sz="4" w:space="0"/>
              <w:right w:val="single" w:color="auto" w:sz="4" w:space="0"/>
            </w:tcBorders>
            <w:shd w:val="clear" w:color="auto" w:fill="auto"/>
            <w:noWrap/>
            <w:vAlign w:val="center"/>
          </w:tcPr>
          <w:p w14:paraId="577DA89C">
            <w:r>
              <w:rPr>
                <w:rFonts w:hint="eastAsia"/>
              </w:rPr>
              <w:t>旅游管理</w:t>
            </w:r>
          </w:p>
        </w:tc>
        <w:tc>
          <w:tcPr>
            <w:tcW w:w="700" w:type="dxa"/>
            <w:tcBorders>
              <w:top w:val="nil"/>
              <w:left w:val="nil"/>
              <w:bottom w:val="single" w:color="auto" w:sz="4" w:space="0"/>
              <w:right w:val="single" w:color="auto" w:sz="4" w:space="0"/>
            </w:tcBorders>
            <w:shd w:val="clear" w:color="auto" w:fill="auto"/>
            <w:noWrap/>
            <w:vAlign w:val="center"/>
          </w:tcPr>
          <w:p w14:paraId="0ABA407E">
            <w:r>
              <w:rPr>
                <w:rFonts w:hint="eastAsia"/>
              </w:rPr>
              <w:t>4600</w:t>
            </w:r>
          </w:p>
        </w:tc>
        <w:tc>
          <w:tcPr>
            <w:tcW w:w="1180" w:type="dxa"/>
            <w:tcBorders>
              <w:top w:val="nil"/>
              <w:left w:val="nil"/>
              <w:bottom w:val="single" w:color="auto" w:sz="4" w:space="0"/>
              <w:right w:val="single" w:color="auto" w:sz="4" w:space="0"/>
            </w:tcBorders>
            <w:shd w:val="clear" w:color="auto" w:fill="auto"/>
            <w:noWrap/>
            <w:vAlign w:val="center"/>
          </w:tcPr>
          <w:p w14:paraId="2648D0C1"/>
        </w:tc>
        <w:tc>
          <w:tcPr>
            <w:tcW w:w="2540" w:type="dxa"/>
            <w:tcBorders>
              <w:top w:val="nil"/>
              <w:left w:val="nil"/>
              <w:bottom w:val="single" w:color="auto" w:sz="4" w:space="0"/>
              <w:right w:val="single" w:color="auto" w:sz="4" w:space="0"/>
            </w:tcBorders>
            <w:shd w:val="clear" w:color="auto" w:fill="auto"/>
            <w:vAlign w:val="center"/>
          </w:tcPr>
          <w:p w14:paraId="527D51AE">
            <w:r>
              <w:rPr>
                <w:rFonts w:hint="eastAsia"/>
              </w:rPr>
              <w:t>　</w:t>
            </w:r>
          </w:p>
        </w:tc>
      </w:tr>
      <w:tr w14:paraId="268D5602">
        <w:tblPrEx>
          <w:tblCellMar>
            <w:top w:w="0" w:type="dxa"/>
            <w:left w:w="108" w:type="dxa"/>
            <w:bottom w:w="0" w:type="dxa"/>
            <w:right w:w="108" w:type="dxa"/>
          </w:tblCellMar>
        </w:tblPrEx>
        <w:trPr>
          <w:trHeight w:val="312" w:hRule="atLeast"/>
          <w:jc w:val="center"/>
        </w:trPr>
        <w:tc>
          <w:tcPr>
            <w:tcW w:w="1336" w:type="dxa"/>
            <w:vMerge w:val="continue"/>
            <w:tcBorders>
              <w:top w:val="nil"/>
              <w:left w:val="single" w:color="auto" w:sz="4" w:space="0"/>
              <w:bottom w:val="single" w:color="auto" w:sz="4" w:space="0"/>
              <w:right w:val="single" w:color="auto" w:sz="4" w:space="0"/>
            </w:tcBorders>
            <w:vAlign w:val="center"/>
          </w:tcPr>
          <w:p w14:paraId="7A1099AE"/>
        </w:tc>
        <w:tc>
          <w:tcPr>
            <w:tcW w:w="3340" w:type="dxa"/>
            <w:tcBorders>
              <w:top w:val="nil"/>
              <w:left w:val="nil"/>
              <w:bottom w:val="single" w:color="auto" w:sz="4" w:space="0"/>
              <w:right w:val="single" w:color="auto" w:sz="4" w:space="0"/>
            </w:tcBorders>
            <w:shd w:val="clear" w:color="auto" w:fill="auto"/>
            <w:noWrap/>
            <w:vAlign w:val="center"/>
          </w:tcPr>
          <w:p w14:paraId="69E4ADCE">
            <w:r>
              <w:rPr>
                <w:rFonts w:hint="eastAsia"/>
              </w:rPr>
              <w:t>民宿管理与运营</w:t>
            </w:r>
          </w:p>
        </w:tc>
        <w:tc>
          <w:tcPr>
            <w:tcW w:w="700" w:type="dxa"/>
            <w:tcBorders>
              <w:top w:val="nil"/>
              <w:left w:val="nil"/>
              <w:bottom w:val="single" w:color="auto" w:sz="4" w:space="0"/>
              <w:right w:val="single" w:color="auto" w:sz="4" w:space="0"/>
            </w:tcBorders>
            <w:shd w:val="clear" w:color="auto" w:fill="auto"/>
            <w:noWrap/>
            <w:vAlign w:val="center"/>
          </w:tcPr>
          <w:p w14:paraId="04ECB2F2">
            <w:r>
              <w:rPr>
                <w:rFonts w:hint="eastAsia"/>
              </w:rPr>
              <w:t>4600</w:t>
            </w:r>
          </w:p>
        </w:tc>
        <w:tc>
          <w:tcPr>
            <w:tcW w:w="1180" w:type="dxa"/>
            <w:tcBorders>
              <w:top w:val="nil"/>
              <w:left w:val="nil"/>
              <w:bottom w:val="single" w:color="auto" w:sz="4" w:space="0"/>
              <w:right w:val="single" w:color="auto" w:sz="4" w:space="0"/>
            </w:tcBorders>
            <w:shd w:val="clear" w:color="auto" w:fill="auto"/>
            <w:noWrap/>
            <w:vAlign w:val="center"/>
          </w:tcPr>
          <w:p w14:paraId="0799B21A"/>
        </w:tc>
        <w:tc>
          <w:tcPr>
            <w:tcW w:w="2540" w:type="dxa"/>
            <w:tcBorders>
              <w:top w:val="nil"/>
              <w:left w:val="nil"/>
              <w:bottom w:val="single" w:color="auto" w:sz="4" w:space="0"/>
              <w:right w:val="single" w:color="auto" w:sz="4" w:space="0"/>
            </w:tcBorders>
            <w:shd w:val="clear" w:color="auto" w:fill="auto"/>
            <w:vAlign w:val="center"/>
          </w:tcPr>
          <w:p w14:paraId="2E524E29">
            <w:r>
              <w:rPr>
                <w:rFonts w:hint="eastAsia"/>
              </w:rPr>
              <w:t>　</w:t>
            </w:r>
          </w:p>
        </w:tc>
      </w:tr>
      <w:tr w14:paraId="4685D14E">
        <w:tblPrEx>
          <w:tblCellMar>
            <w:top w:w="0" w:type="dxa"/>
            <w:left w:w="108" w:type="dxa"/>
            <w:bottom w:w="0" w:type="dxa"/>
            <w:right w:w="108" w:type="dxa"/>
          </w:tblCellMar>
        </w:tblPrEx>
        <w:trPr>
          <w:trHeight w:val="312" w:hRule="atLeast"/>
          <w:jc w:val="center"/>
        </w:trPr>
        <w:tc>
          <w:tcPr>
            <w:tcW w:w="1336" w:type="dxa"/>
            <w:vMerge w:val="continue"/>
            <w:tcBorders>
              <w:top w:val="nil"/>
              <w:left w:val="single" w:color="auto" w:sz="4" w:space="0"/>
              <w:bottom w:val="single" w:color="auto" w:sz="4" w:space="0"/>
              <w:right w:val="single" w:color="auto" w:sz="4" w:space="0"/>
            </w:tcBorders>
            <w:vAlign w:val="center"/>
          </w:tcPr>
          <w:p w14:paraId="17295FC6"/>
        </w:tc>
        <w:tc>
          <w:tcPr>
            <w:tcW w:w="3340" w:type="dxa"/>
            <w:tcBorders>
              <w:top w:val="nil"/>
              <w:left w:val="nil"/>
              <w:bottom w:val="single" w:color="auto" w:sz="4" w:space="0"/>
              <w:right w:val="single" w:color="auto" w:sz="4" w:space="0"/>
            </w:tcBorders>
            <w:shd w:val="clear" w:color="auto" w:fill="auto"/>
            <w:noWrap/>
            <w:vAlign w:val="center"/>
          </w:tcPr>
          <w:p w14:paraId="294BE8A0">
            <w:r>
              <w:rPr>
                <w:rFonts w:hint="eastAsia"/>
              </w:rPr>
              <w:t>移动商务</w:t>
            </w:r>
          </w:p>
        </w:tc>
        <w:tc>
          <w:tcPr>
            <w:tcW w:w="700" w:type="dxa"/>
            <w:tcBorders>
              <w:top w:val="nil"/>
              <w:left w:val="nil"/>
              <w:bottom w:val="single" w:color="auto" w:sz="4" w:space="0"/>
              <w:right w:val="single" w:color="auto" w:sz="4" w:space="0"/>
            </w:tcBorders>
            <w:shd w:val="clear" w:color="auto" w:fill="auto"/>
            <w:noWrap/>
            <w:vAlign w:val="center"/>
          </w:tcPr>
          <w:p w14:paraId="602816B8">
            <w:r>
              <w:rPr>
                <w:rFonts w:hint="eastAsia"/>
              </w:rPr>
              <w:t>3500</w:t>
            </w:r>
          </w:p>
        </w:tc>
        <w:tc>
          <w:tcPr>
            <w:tcW w:w="1180" w:type="dxa"/>
            <w:tcBorders>
              <w:top w:val="nil"/>
              <w:left w:val="nil"/>
              <w:bottom w:val="single" w:color="auto" w:sz="4" w:space="0"/>
              <w:right w:val="single" w:color="auto" w:sz="4" w:space="0"/>
            </w:tcBorders>
            <w:shd w:val="clear" w:color="auto" w:fill="auto"/>
            <w:noWrap/>
            <w:vAlign w:val="center"/>
          </w:tcPr>
          <w:p w14:paraId="7CFC6D74"/>
        </w:tc>
        <w:tc>
          <w:tcPr>
            <w:tcW w:w="2540" w:type="dxa"/>
            <w:tcBorders>
              <w:top w:val="nil"/>
              <w:left w:val="nil"/>
              <w:bottom w:val="single" w:color="auto" w:sz="4" w:space="0"/>
              <w:right w:val="single" w:color="auto" w:sz="4" w:space="0"/>
            </w:tcBorders>
            <w:shd w:val="clear" w:color="auto" w:fill="auto"/>
            <w:vAlign w:val="center"/>
          </w:tcPr>
          <w:p w14:paraId="7AFFE875">
            <w:r>
              <w:rPr>
                <w:rFonts w:hint="eastAsia"/>
              </w:rPr>
              <w:t>　</w:t>
            </w:r>
          </w:p>
        </w:tc>
      </w:tr>
      <w:tr w14:paraId="138CBE11">
        <w:tblPrEx>
          <w:tblCellMar>
            <w:top w:w="0" w:type="dxa"/>
            <w:left w:w="108" w:type="dxa"/>
            <w:bottom w:w="0" w:type="dxa"/>
            <w:right w:w="108" w:type="dxa"/>
          </w:tblCellMar>
        </w:tblPrEx>
        <w:trPr>
          <w:trHeight w:val="312" w:hRule="atLeast"/>
          <w:jc w:val="center"/>
        </w:trPr>
        <w:tc>
          <w:tcPr>
            <w:tcW w:w="1336" w:type="dxa"/>
            <w:vMerge w:val="continue"/>
            <w:tcBorders>
              <w:top w:val="nil"/>
              <w:left w:val="single" w:color="auto" w:sz="4" w:space="0"/>
              <w:bottom w:val="single" w:color="auto" w:sz="4" w:space="0"/>
              <w:right w:val="single" w:color="auto" w:sz="4" w:space="0"/>
            </w:tcBorders>
            <w:vAlign w:val="center"/>
          </w:tcPr>
          <w:p w14:paraId="16BB8078"/>
        </w:tc>
        <w:tc>
          <w:tcPr>
            <w:tcW w:w="3340" w:type="dxa"/>
            <w:tcBorders>
              <w:top w:val="nil"/>
              <w:left w:val="nil"/>
              <w:bottom w:val="single" w:color="auto" w:sz="4" w:space="0"/>
              <w:right w:val="single" w:color="auto" w:sz="4" w:space="0"/>
            </w:tcBorders>
            <w:shd w:val="clear" w:color="auto" w:fill="auto"/>
            <w:noWrap/>
            <w:vAlign w:val="center"/>
          </w:tcPr>
          <w:p w14:paraId="323C3AFC">
            <w:r>
              <w:rPr>
                <w:rFonts w:hint="eastAsia"/>
              </w:rPr>
              <w:t>智能物流技术</w:t>
            </w:r>
          </w:p>
        </w:tc>
        <w:tc>
          <w:tcPr>
            <w:tcW w:w="700" w:type="dxa"/>
            <w:tcBorders>
              <w:top w:val="nil"/>
              <w:left w:val="nil"/>
              <w:bottom w:val="single" w:color="auto" w:sz="4" w:space="0"/>
              <w:right w:val="single" w:color="auto" w:sz="4" w:space="0"/>
            </w:tcBorders>
            <w:shd w:val="clear" w:color="auto" w:fill="auto"/>
            <w:noWrap/>
            <w:vAlign w:val="center"/>
          </w:tcPr>
          <w:p w14:paraId="4BAFA2A6">
            <w:r>
              <w:rPr>
                <w:rFonts w:hint="eastAsia"/>
              </w:rPr>
              <w:t>3500</w:t>
            </w:r>
          </w:p>
        </w:tc>
        <w:tc>
          <w:tcPr>
            <w:tcW w:w="1180" w:type="dxa"/>
            <w:tcBorders>
              <w:top w:val="nil"/>
              <w:left w:val="nil"/>
              <w:bottom w:val="single" w:color="auto" w:sz="4" w:space="0"/>
              <w:right w:val="single" w:color="auto" w:sz="4" w:space="0"/>
            </w:tcBorders>
            <w:shd w:val="clear" w:color="auto" w:fill="auto"/>
            <w:noWrap/>
            <w:vAlign w:val="center"/>
          </w:tcPr>
          <w:p w14:paraId="2BFF90A0"/>
        </w:tc>
        <w:tc>
          <w:tcPr>
            <w:tcW w:w="2540" w:type="dxa"/>
            <w:tcBorders>
              <w:top w:val="nil"/>
              <w:left w:val="nil"/>
              <w:bottom w:val="single" w:color="auto" w:sz="4" w:space="0"/>
              <w:right w:val="single" w:color="auto" w:sz="4" w:space="0"/>
            </w:tcBorders>
            <w:shd w:val="clear" w:color="auto" w:fill="auto"/>
            <w:vAlign w:val="center"/>
          </w:tcPr>
          <w:p w14:paraId="065C0732">
            <w:r>
              <w:rPr>
                <w:rFonts w:hint="eastAsia"/>
              </w:rPr>
              <w:t>　</w:t>
            </w:r>
          </w:p>
        </w:tc>
      </w:tr>
      <w:tr w14:paraId="4194F745">
        <w:tblPrEx>
          <w:tblCellMar>
            <w:top w:w="0" w:type="dxa"/>
            <w:left w:w="108" w:type="dxa"/>
            <w:bottom w:w="0" w:type="dxa"/>
            <w:right w:w="108" w:type="dxa"/>
          </w:tblCellMar>
        </w:tblPrEx>
        <w:trPr>
          <w:trHeight w:val="312" w:hRule="atLeast"/>
          <w:jc w:val="center"/>
        </w:trPr>
        <w:tc>
          <w:tcPr>
            <w:tcW w:w="1336" w:type="dxa"/>
            <w:vMerge w:val="continue"/>
            <w:tcBorders>
              <w:top w:val="nil"/>
              <w:left w:val="single" w:color="auto" w:sz="4" w:space="0"/>
              <w:bottom w:val="single" w:color="auto" w:sz="4" w:space="0"/>
              <w:right w:val="single" w:color="auto" w:sz="4" w:space="0"/>
            </w:tcBorders>
            <w:vAlign w:val="center"/>
          </w:tcPr>
          <w:p w14:paraId="19644ECC"/>
        </w:tc>
        <w:tc>
          <w:tcPr>
            <w:tcW w:w="3340" w:type="dxa"/>
            <w:tcBorders>
              <w:top w:val="nil"/>
              <w:left w:val="nil"/>
              <w:bottom w:val="single" w:color="auto" w:sz="4" w:space="0"/>
              <w:right w:val="single" w:color="auto" w:sz="4" w:space="0"/>
            </w:tcBorders>
            <w:shd w:val="clear" w:color="auto" w:fill="auto"/>
            <w:noWrap/>
            <w:vAlign w:val="center"/>
          </w:tcPr>
          <w:p w14:paraId="382F9990">
            <w:r>
              <w:rPr>
                <w:rFonts w:hint="eastAsia"/>
              </w:rPr>
              <w:t>服装与服饰设计</w:t>
            </w:r>
          </w:p>
        </w:tc>
        <w:tc>
          <w:tcPr>
            <w:tcW w:w="700" w:type="dxa"/>
            <w:tcBorders>
              <w:top w:val="nil"/>
              <w:left w:val="nil"/>
              <w:bottom w:val="single" w:color="auto" w:sz="4" w:space="0"/>
              <w:right w:val="single" w:color="auto" w:sz="4" w:space="0"/>
            </w:tcBorders>
            <w:shd w:val="clear" w:color="auto" w:fill="auto"/>
            <w:noWrap/>
            <w:vAlign w:val="center"/>
          </w:tcPr>
          <w:p w14:paraId="1522FEA9">
            <w:r>
              <w:rPr>
                <w:rFonts w:hint="eastAsia"/>
              </w:rPr>
              <w:t>4600</w:t>
            </w:r>
          </w:p>
        </w:tc>
        <w:tc>
          <w:tcPr>
            <w:tcW w:w="1180" w:type="dxa"/>
            <w:tcBorders>
              <w:top w:val="nil"/>
              <w:left w:val="nil"/>
              <w:bottom w:val="single" w:color="auto" w:sz="4" w:space="0"/>
              <w:right w:val="single" w:color="auto" w:sz="4" w:space="0"/>
            </w:tcBorders>
            <w:shd w:val="clear" w:color="auto" w:fill="auto"/>
            <w:noWrap/>
            <w:vAlign w:val="center"/>
          </w:tcPr>
          <w:p w14:paraId="7A904899"/>
        </w:tc>
        <w:tc>
          <w:tcPr>
            <w:tcW w:w="2540" w:type="dxa"/>
            <w:tcBorders>
              <w:top w:val="nil"/>
              <w:left w:val="nil"/>
              <w:bottom w:val="single" w:color="auto" w:sz="4" w:space="0"/>
              <w:right w:val="single" w:color="auto" w:sz="4" w:space="0"/>
            </w:tcBorders>
            <w:shd w:val="clear" w:color="auto" w:fill="auto"/>
            <w:vAlign w:val="center"/>
          </w:tcPr>
          <w:p w14:paraId="0C3E000F">
            <w:r>
              <w:rPr>
                <w:rFonts w:hint="eastAsia"/>
              </w:rPr>
              <w:t>　</w:t>
            </w:r>
          </w:p>
        </w:tc>
      </w:tr>
      <w:tr w14:paraId="0C93DA5A">
        <w:tblPrEx>
          <w:tblCellMar>
            <w:top w:w="0" w:type="dxa"/>
            <w:left w:w="108" w:type="dxa"/>
            <w:bottom w:w="0" w:type="dxa"/>
            <w:right w:w="108" w:type="dxa"/>
          </w:tblCellMar>
        </w:tblPrEx>
        <w:trPr>
          <w:trHeight w:val="312" w:hRule="atLeast"/>
          <w:jc w:val="center"/>
        </w:trPr>
        <w:tc>
          <w:tcPr>
            <w:tcW w:w="1336" w:type="dxa"/>
            <w:vMerge w:val="continue"/>
            <w:tcBorders>
              <w:top w:val="nil"/>
              <w:left w:val="single" w:color="auto" w:sz="4" w:space="0"/>
              <w:bottom w:val="single" w:color="auto" w:sz="4" w:space="0"/>
              <w:right w:val="single" w:color="auto" w:sz="4" w:space="0"/>
            </w:tcBorders>
            <w:vAlign w:val="center"/>
          </w:tcPr>
          <w:p w14:paraId="0ADEF846"/>
        </w:tc>
        <w:tc>
          <w:tcPr>
            <w:tcW w:w="3340" w:type="dxa"/>
            <w:tcBorders>
              <w:top w:val="nil"/>
              <w:left w:val="nil"/>
              <w:bottom w:val="single" w:color="auto" w:sz="4" w:space="0"/>
              <w:right w:val="single" w:color="auto" w:sz="4" w:space="0"/>
            </w:tcBorders>
            <w:shd w:val="clear" w:color="auto" w:fill="auto"/>
            <w:noWrap/>
            <w:vAlign w:val="center"/>
          </w:tcPr>
          <w:p w14:paraId="26E73F9E">
            <w:r>
              <w:rPr>
                <w:rFonts w:hint="eastAsia"/>
              </w:rPr>
              <w:t>数字媒体技术</w:t>
            </w:r>
          </w:p>
        </w:tc>
        <w:tc>
          <w:tcPr>
            <w:tcW w:w="700" w:type="dxa"/>
            <w:tcBorders>
              <w:top w:val="nil"/>
              <w:left w:val="nil"/>
              <w:bottom w:val="single" w:color="auto" w:sz="4" w:space="0"/>
              <w:right w:val="single" w:color="auto" w:sz="4" w:space="0"/>
            </w:tcBorders>
            <w:shd w:val="clear" w:color="auto" w:fill="auto"/>
            <w:noWrap/>
            <w:vAlign w:val="center"/>
          </w:tcPr>
          <w:p w14:paraId="10804DFE">
            <w:r>
              <w:rPr>
                <w:rFonts w:hint="eastAsia"/>
              </w:rPr>
              <w:t>4600</w:t>
            </w:r>
          </w:p>
        </w:tc>
        <w:tc>
          <w:tcPr>
            <w:tcW w:w="1180" w:type="dxa"/>
            <w:tcBorders>
              <w:top w:val="nil"/>
              <w:left w:val="nil"/>
              <w:bottom w:val="single" w:color="auto" w:sz="4" w:space="0"/>
              <w:right w:val="single" w:color="auto" w:sz="4" w:space="0"/>
            </w:tcBorders>
            <w:shd w:val="clear" w:color="auto" w:fill="auto"/>
            <w:noWrap/>
            <w:vAlign w:val="center"/>
          </w:tcPr>
          <w:p w14:paraId="253CC897"/>
        </w:tc>
        <w:tc>
          <w:tcPr>
            <w:tcW w:w="2540" w:type="dxa"/>
            <w:tcBorders>
              <w:top w:val="nil"/>
              <w:left w:val="nil"/>
              <w:bottom w:val="single" w:color="auto" w:sz="4" w:space="0"/>
              <w:right w:val="single" w:color="auto" w:sz="4" w:space="0"/>
            </w:tcBorders>
            <w:shd w:val="clear" w:color="auto" w:fill="auto"/>
            <w:vAlign w:val="center"/>
          </w:tcPr>
          <w:p w14:paraId="27E80EFD">
            <w:r>
              <w:rPr>
                <w:rFonts w:hint="eastAsia"/>
              </w:rPr>
              <w:t>　</w:t>
            </w:r>
          </w:p>
        </w:tc>
      </w:tr>
      <w:tr w14:paraId="2EAC0F67">
        <w:tblPrEx>
          <w:tblCellMar>
            <w:top w:w="0" w:type="dxa"/>
            <w:left w:w="108" w:type="dxa"/>
            <w:bottom w:w="0" w:type="dxa"/>
            <w:right w:w="108" w:type="dxa"/>
          </w:tblCellMar>
        </w:tblPrEx>
        <w:trPr>
          <w:trHeight w:val="312" w:hRule="atLeast"/>
          <w:jc w:val="center"/>
        </w:trPr>
        <w:tc>
          <w:tcPr>
            <w:tcW w:w="5376"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14:paraId="1F2C6B64">
            <w:r>
              <w:rPr>
                <w:rFonts w:hint="eastAsia"/>
              </w:rPr>
              <w:t>*总计</w:t>
            </w:r>
          </w:p>
        </w:tc>
        <w:tc>
          <w:tcPr>
            <w:tcW w:w="1180" w:type="dxa"/>
            <w:tcBorders>
              <w:top w:val="nil"/>
              <w:left w:val="nil"/>
              <w:bottom w:val="single" w:color="auto" w:sz="4" w:space="0"/>
              <w:right w:val="single" w:color="auto" w:sz="4" w:space="0"/>
            </w:tcBorders>
            <w:shd w:val="clear" w:color="auto" w:fill="auto"/>
            <w:noWrap/>
            <w:vAlign w:val="center"/>
          </w:tcPr>
          <w:p w14:paraId="062093C1">
            <w:r>
              <w:rPr>
                <w:rFonts w:hint="eastAsia"/>
              </w:rPr>
              <w:t>2000</w:t>
            </w:r>
          </w:p>
        </w:tc>
        <w:tc>
          <w:tcPr>
            <w:tcW w:w="2540" w:type="dxa"/>
            <w:tcBorders>
              <w:top w:val="nil"/>
              <w:left w:val="nil"/>
              <w:bottom w:val="single" w:color="auto" w:sz="4" w:space="0"/>
              <w:right w:val="single" w:color="auto" w:sz="4" w:space="0"/>
            </w:tcBorders>
            <w:shd w:val="clear" w:color="auto" w:fill="auto"/>
            <w:vAlign w:val="center"/>
          </w:tcPr>
          <w:p w14:paraId="2AD0FDF9">
            <w:r>
              <w:rPr>
                <w:rFonts w:hint="eastAsia"/>
              </w:rPr>
              <w:t>　</w:t>
            </w:r>
          </w:p>
        </w:tc>
      </w:tr>
    </w:tbl>
    <w:p w14:paraId="08D97D78">
      <w:pPr>
        <w:widowControl/>
        <w:spacing w:line="500" w:lineRule="exact"/>
        <w:ind w:firstLine="562" w:firstLineChars="200"/>
        <w:jc w:val="left"/>
        <w:rPr>
          <w:rFonts w:hint="eastAsia" w:ascii="仿宋" w:hAnsi="仿宋" w:eastAsia="仿宋" w:cs="宋体"/>
          <w:kern w:val="0"/>
          <w:sz w:val="28"/>
        </w:rPr>
      </w:pPr>
      <w:r>
        <w:rPr>
          <w:rFonts w:hint="eastAsia" w:ascii="等线" w:hAnsi="等线" w:eastAsia="仿宋" w:cs="仿宋"/>
          <w:b/>
          <w:bCs/>
          <w:sz w:val="28"/>
          <w:szCs w:val="28"/>
        </w:rPr>
        <w:t xml:space="preserve">第十三条  </w:t>
      </w:r>
      <w:r>
        <w:rPr>
          <w:rFonts w:hint="eastAsia" w:ascii="仿宋" w:hAnsi="仿宋" w:eastAsia="仿宋" w:cs="宋体"/>
          <w:kern w:val="0"/>
          <w:sz w:val="28"/>
        </w:rPr>
        <w:t>单列计划及专业说明。根据省教育厅政策规定，单列计划纳入我校单招总计划，且均包含在各相关专业的招生计划内，未录满的计划自动转为普通类计划。</w:t>
      </w:r>
    </w:p>
    <w:p w14:paraId="1AAF28C8">
      <w:pPr>
        <w:widowControl/>
        <w:spacing w:line="500" w:lineRule="exact"/>
        <w:ind w:firstLine="560" w:firstLineChars="200"/>
        <w:jc w:val="left"/>
        <w:rPr>
          <w:rFonts w:hint="eastAsia" w:ascii="仿宋" w:hAnsi="仿宋" w:eastAsia="仿宋" w:cs="宋体"/>
          <w:kern w:val="0"/>
          <w:sz w:val="28"/>
        </w:rPr>
      </w:pPr>
      <w:r>
        <w:rPr>
          <w:rFonts w:hint="eastAsia" w:ascii="仿宋" w:hAnsi="仿宋" w:eastAsia="仿宋" w:cs="宋体"/>
          <w:kern w:val="0"/>
          <w:sz w:val="28"/>
        </w:rPr>
        <w:t>退役军人计划</w:t>
      </w:r>
      <w:r>
        <w:rPr>
          <w:rFonts w:hint="eastAsia" w:ascii="等线" w:hAnsi="等线" w:eastAsia="仿宋" w:cs="仿宋"/>
          <w:sz w:val="28"/>
          <w:szCs w:val="28"/>
        </w:rPr>
        <w:t xml:space="preserve"> 2人，考生</w:t>
      </w:r>
      <w:r>
        <w:rPr>
          <w:rFonts w:hint="eastAsia" w:ascii="仿宋" w:hAnsi="仿宋" w:eastAsia="仿宋" w:cs="宋体"/>
          <w:kern w:val="0"/>
          <w:sz w:val="28"/>
        </w:rPr>
        <w:t>可在上表专业范围内自行选择报考。</w:t>
      </w:r>
    </w:p>
    <w:p w14:paraId="4CBC3F5F">
      <w:pPr>
        <w:spacing w:line="600" w:lineRule="exact"/>
        <w:ind w:firstLine="562" w:firstLineChars="200"/>
        <w:rPr>
          <w:rFonts w:hint="eastAsia" w:ascii="仿宋" w:hAnsi="仿宋" w:eastAsia="仿宋" w:cs="仿宋"/>
          <w:sz w:val="28"/>
          <w:szCs w:val="28"/>
        </w:rPr>
      </w:pPr>
      <w:r>
        <w:rPr>
          <w:rFonts w:hint="eastAsia" w:ascii="等线" w:hAnsi="等线" w:eastAsia="仿宋" w:cs="宋体"/>
          <w:b/>
          <w:bCs/>
          <w:kern w:val="0"/>
          <w:sz w:val="28"/>
        </w:rPr>
        <w:t>第十四条</w:t>
      </w:r>
      <w:r>
        <w:rPr>
          <w:rFonts w:hint="eastAsia" w:ascii="等线" w:hAnsi="等线" w:eastAsia="仿宋" w:cs="宋体"/>
          <w:kern w:val="0"/>
          <w:sz w:val="28"/>
        </w:rPr>
        <w:t xml:space="preserve"> 学校在考试结束后，以实际参考人数为基数，按比例确定各专业不同类别考生的计划数。学校各专业各类别计划确定并公布后，一律不调整和追加。单招未完成的计划转为统招计划使用。</w:t>
      </w:r>
    </w:p>
    <w:p w14:paraId="6CD7FA9F">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单招考试</w:t>
      </w:r>
    </w:p>
    <w:p w14:paraId="34B6A12B">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 xml:space="preserve">第十五条 </w:t>
      </w:r>
      <w:r>
        <w:rPr>
          <w:rFonts w:hint="eastAsia" w:ascii="等线" w:hAnsi="等线" w:eastAsia="仿宋" w:cs="仿宋"/>
          <w:sz w:val="28"/>
          <w:szCs w:val="28"/>
        </w:rPr>
        <w:t>学校将本着公平、公正、择优录取的原则，按照国家教育考试相关规定，在省教育厅、省教育考试院的指导和监督下组织单招考试的相关工作。</w:t>
      </w:r>
    </w:p>
    <w:p w14:paraId="5D51CEC1">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 xml:space="preserve">第十六条 </w:t>
      </w:r>
      <w:r>
        <w:rPr>
          <w:rFonts w:hint="eastAsia" w:ascii="等线" w:hAnsi="等线" w:eastAsia="仿宋" w:cs="仿宋"/>
          <w:sz w:val="28"/>
          <w:szCs w:val="28"/>
        </w:rPr>
        <w:t>参加学校今年单招的考生分为应届普通高中毕业考生（具有2024年普通高中学业水平合格性考试</w:t>
      </w:r>
      <w:r>
        <w:rPr>
          <w:rFonts w:hint="eastAsia" w:ascii="等线" w:hAnsi="等线" w:eastAsia="仿宋" w:cs="仿宋"/>
          <w:sz w:val="28"/>
          <w:szCs w:val="28"/>
          <w:lang w:val="en-US" w:eastAsia="zh-CN"/>
        </w:rPr>
        <w:t>语文、数学、外语科目</w:t>
      </w:r>
      <w:r>
        <w:rPr>
          <w:rFonts w:hint="eastAsia" w:ascii="等线" w:hAnsi="等线" w:eastAsia="仿宋" w:cs="仿宋"/>
          <w:sz w:val="28"/>
          <w:szCs w:val="28"/>
        </w:rPr>
        <w:t>有效成绩）、中职考生和往届普通高中考生及同等学力考生（含普通高中学业水平合格性考试</w:t>
      </w:r>
      <w:r>
        <w:rPr>
          <w:rFonts w:hint="eastAsia" w:ascii="等线" w:hAnsi="等线" w:eastAsia="仿宋" w:cs="仿宋"/>
          <w:sz w:val="28"/>
          <w:szCs w:val="28"/>
          <w:lang w:val="en-US" w:eastAsia="zh-CN"/>
        </w:rPr>
        <w:t>语文、数学、外语</w:t>
      </w:r>
      <w:r>
        <w:rPr>
          <w:rFonts w:hint="eastAsia" w:ascii="等线" w:hAnsi="等线" w:eastAsia="仿宋" w:cs="仿宋"/>
          <w:sz w:val="28"/>
          <w:szCs w:val="28"/>
        </w:rPr>
        <w:t>有效成绩不全的应届普通高中考生）、退役军人3个大类。</w:t>
      </w:r>
    </w:p>
    <w:p w14:paraId="26759DAD">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 xml:space="preserve">第十七条 </w:t>
      </w:r>
      <w:r>
        <w:rPr>
          <w:rFonts w:hint="eastAsia" w:ascii="等线" w:hAnsi="等线" w:eastAsia="仿宋" w:cs="仿宋"/>
          <w:sz w:val="28"/>
          <w:szCs w:val="28"/>
        </w:rPr>
        <w:t>按照“文化素质+职业技能”方式，分类组织考试。根据考生的类别，考试按以下方式进行。</w:t>
      </w:r>
    </w:p>
    <w:p w14:paraId="092ECE57">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1.第一类：应届普通高中毕业考生。文化素质测试成绩以学生取得的高中学业水平合格性考试语文、数学、外语科目有效成绩代替。职业技能测试由学校组织，学校分专业组，按照人才培养需要，分别采取笔试方式进行，重点考察学生的职业适应性。</w:t>
      </w:r>
    </w:p>
    <w:p w14:paraId="63AEA6EF">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2.第二类：中职考生和往届普通高中考生及同等学力考生。文化素质测试由学校依据《中等职业学校公共基础课课程标准》及高中教育阶段语文、数学、英语等有关内容进行命题及考试。职业技能测试由学校组织，学校分专业组，按照人才培养需要，分别采取笔试方式进行，重点考察学生的职业技能。</w:t>
      </w:r>
    </w:p>
    <w:p w14:paraId="3E471C08">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3.第三类：退役军人考生免予文化素质测试。职业技能测试由学校组织，参照上述第二类考生职业技能测试方式，参加学校组织的职业技能测试。</w:t>
      </w:r>
    </w:p>
    <w:p w14:paraId="490B2663">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第十八条</w:t>
      </w:r>
      <w:r>
        <w:rPr>
          <w:rFonts w:hint="eastAsia" w:ascii="等线" w:hAnsi="等线" w:eastAsia="仿宋" w:cs="仿宋"/>
          <w:sz w:val="28"/>
          <w:szCs w:val="28"/>
        </w:rPr>
        <w:t xml:space="preserve"> 考生的综合成绩为文化素质成绩+职业技能成绩。上述第一类、第二类考生的高职单招综合成绩（总成绩）满分为600分，文化素质成绩与职业技能成绩占比为1：1，即分别各占300分。第三类考生的综合成绩满分为300分。</w:t>
      </w:r>
    </w:p>
    <w:p w14:paraId="4BCC88BE">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第十九条</w:t>
      </w:r>
      <w:r>
        <w:rPr>
          <w:rFonts w:hint="eastAsia" w:ascii="等线" w:hAnsi="等线" w:eastAsia="仿宋" w:cs="仿宋"/>
          <w:sz w:val="28"/>
          <w:szCs w:val="28"/>
        </w:rPr>
        <w:t xml:space="preserve">  我校针对第二类考生组织的文化素质测试为闭卷笔试方式。我校组织职业技能测试，分专业组采取闭卷笔试。</w:t>
      </w:r>
    </w:p>
    <w:p w14:paraId="00A6C6A1">
      <w:pPr>
        <w:spacing w:line="500" w:lineRule="exact"/>
        <w:ind w:firstLine="562" w:firstLineChars="200"/>
        <w:rPr>
          <w:rFonts w:hint="eastAsia" w:ascii="方正小标宋简体" w:hAnsi="方正小标宋简体" w:eastAsia="方正小标宋简体" w:cs="方正小标宋简体"/>
          <w:sz w:val="28"/>
          <w:szCs w:val="28"/>
        </w:rPr>
      </w:pPr>
      <w:r>
        <w:rPr>
          <w:rFonts w:hint="eastAsia" w:ascii="等线" w:hAnsi="等线" w:eastAsia="仿宋" w:cs="仿宋"/>
          <w:b/>
          <w:bCs/>
          <w:sz w:val="28"/>
          <w:szCs w:val="28"/>
        </w:rPr>
        <w:t>第二十条</w:t>
      </w:r>
      <w:r>
        <w:rPr>
          <w:rFonts w:hint="eastAsia" w:ascii="等线" w:hAnsi="等线" w:eastAsia="仿宋" w:cs="仿宋"/>
          <w:sz w:val="28"/>
          <w:szCs w:val="28"/>
        </w:rPr>
        <w:t xml:space="preserve">  我校将按照分类考试的原则，对不同专业组的职业技能测试分别进行命题。我校文化素质测试、职业技能测试的有关说明、考试范围等，将在我校官网上进行公布。</w:t>
      </w:r>
    </w:p>
    <w:p w14:paraId="191ECDA8">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 xml:space="preserve">第二十一条 </w:t>
      </w:r>
      <w:r>
        <w:rPr>
          <w:rFonts w:hint="eastAsia" w:ascii="等线" w:hAnsi="等线" w:eastAsia="仿宋" w:cs="仿宋"/>
          <w:sz w:val="28"/>
          <w:szCs w:val="28"/>
        </w:rPr>
        <w:t xml:space="preserve"> 符合以下免试条件的考生在单招考试前向学校申请。其中，职业技能特长申请免技能测试的考生，须在2025年       2月24日前，通过邮件方式 ，将相关申请材料扫描件（见附件1，附件2）发至邮箱hhzyzsc@126.com报我校招生就业处审核。免试直接录取的考生不占用单招计划数，使用我校统招计划，在统招录取前完成录取手续办理，有关审核程序和方法由省教育考试院另行规定。</w:t>
      </w:r>
    </w:p>
    <w:p w14:paraId="4DC45E3A">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1.免试直接录取。根据教育部政策规定，中等职业教育应届毕业生，在校期间在世界技能组织主办的“世界技能大赛（World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校就读。(填写附件1材料)</w:t>
      </w:r>
    </w:p>
    <w:p w14:paraId="015FC542">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2.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填写附件2材料）</w:t>
      </w:r>
    </w:p>
    <w:p w14:paraId="521F193E">
      <w:pPr>
        <w:spacing w:line="500" w:lineRule="exact"/>
        <w:ind w:firstLine="560" w:firstLineChars="200"/>
        <w:rPr>
          <w:rFonts w:hint="eastAsia" w:ascii="方正小标宋简体" w:hAnsi="方正小标宋简体" w:eastAsia="方正小标宋简体" w:cs="方正小标宋简体"/>
          <w:sz w:val="28"/>
          <w:szCs w:val="28"/>
        </w:rPr>
      </w:pPr>
      <w:r>
        <w:rPr>
          <w:rFonts w:hint="eastAsia" w:ascii="等线" w:hAnsi="等线" w:eastAsia="仿宋" w:cs="仿宋"/>
          <w:sz w:val="28"/>
          <w:szCs w:val="28"/>
        </w:rPr>
        <w:t>3.免试考生的录取专业与其获奖赛项对应（考生如需跨专业报考，则不能享受免试政策）。</w:t>
      </w:r>
    </w:p>
    <w:p w14:paraId="0E183612">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第二十二条</w:t>
      </w:r>
      <w:r>
        <w:rPr>
          <w:rFonts w:hint="eastAsia" w:ascii="等线" w:hAnsi="等线" w:eastAsia="仿宋" w:cs="仿宋"/>
          <w:sz w:val="28"/>
          <w:szCs w:val="28"/>
        </w:rPr>
        <w:t xml:space="preserve"> 学校按一志愿、二志愿分别组织单招考试。第一志愿考试时间为2025年3月8日。若第一志愿生源不足，未完成单招计划，我校将组织第二志愿考试，参考对象为第二志愿报考我校且未被第一志愿学校录取考生，时间为2025年4月5日。各科目的具体考试时间及地点将在我校官网上另行公布。</w:t>
      </w:r>
    </w:p>
    <w:p w14:paraId="51DF079C">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 xml:space="preserve">第二十三条 </w:t>
      </w:r>
      <w:r>
        <w:rPr>
          <w:rFonts w:hint="eastAsia" w:ascii="等线" w:hAnsi="等线" w:eastAsia="仿宋" w:cs="仿宋"/>
          <w:sz w:val="28"/>
          <w:szCs w:val="28"/>
        </w:rPr>
        <w:t>根据物价部门统一规定，高职单招的报考费为80元/生。报考我校第</w:t>
      </w:r>
      <w:r>
        <w:rPr>
          <w:rFonts w:hint="eastAsia" w:ascii="仿宋" w:hAnsi="仿宋" w:eastAsia="仿宋" w:cs="仿宋"/>
          <w:sz w:val="28"/>
          <w:szCs w:val="28"/>
        </w:rPr>
        <w:t>一志愿的考生费缴纳时间为</w:t>
      </w:r>
      <w:r>
        <w:rPr>
          <w:rFonts w:hint="eastAsia" w:ascii="等线" w:hAnsi="等线" w:eastAsia="仿宋" w:cs="仿宋"/>
          <w:color w:val="FF0000"/>
          <w:sz w:val="28"/>
          <w:szCs w:val="28"/>
        </w:rPr>
        <w:t>2025年3月1日-3月3日17:00，</w:t>
      </w:r>
      <w:r>
        <w:rPr>
          <w:rFonts w:hint="eastAsia" w:ascii="仿宋" w:hAnsi="仿宋" w:eastAsia="仿宋" w:cs="仿宋"/>
          <w:sz w:val="28"/>
          <w:szCs w:val="28"/>
        </w:rPr>
        <w:t>缴纳方式为网银、微信网上支付。未在规定时间内缴费的，不得参加我校单招考试及录取。缴费成功的考生于</w:t>
      </w:r>
      <w:r>
        <w:rPr>
          <w:rFonts w:hint="eastAsia" w:ascii="仿宋" w:hAnsi="仿宋" w:eastAsia="仿宋" w:cs="仿宋"/>
          <w:color w:val="FF0000"/>
          <w:sz w:val="28"/>
          <w:szCs w:val="28"/>
        </w:rPr>
        <w:t>2025年</w:t>
      </w:r>
      <w:r>
        <w:rPr>
          <w:rFonts w:hint="eastAsia" w:ascii="等线" w:hAnsi="等线" w:eastAsia="仿宋" w:cs="仿宋"/>
          <w:color w:val="FF0000"/>
          <w:sz w:val="28"/>
          <w:szCs w:val="28"/>
        </w:rPr>
        <w:t>3</w:t>
      </w:r>
      <w:r>
        <w:rPr>
          <w:rFonts w:hint="eastAsia" w:ascii="仿宋" w:hAnsi="仿宋" w:eastAsia="仿宋" w:cs="仿宋"/>
          <w:color w:val="FF0000"/>
          <w:sz w:val="28"/>
          <w:szCs w:val="28"/>
        </w:rPr>
        <w:t>月</w:t>
      </w:r>
      <w:r>
        <w:rPr>
          <w:rFonts w:hint="eastAsia" w:ascii="等线" w:hAnsi="等线" w:eastAsia="仿宋" w:cs="仿宋"/>
          <w:color w:val="FF0000"/>
          <w:sz w:val="28"/>
          <w:szCs w:val="28"/>
        </w:rPr>
        <w:t>6</w:t>
      </w:r>
      <w:r>
        <w:rPr>
          <w:rFonts w:hint="eastAsia" w:ascii="仿宋" w:hAnsi="仿宋" w:eastAsia="仿宋" w:cs="仿宋"/>
          <w:color w:val="FF0000"/>
          <w:sz w:val="28"/>
          <w:szCs w:val="28"/>
        </w:rPr>
        <w:t>日-7日登录学院网站自行打印准考证</w:t>
      </w:r>
      <w:r>
        <w:rPr>
          <w:rFonts w:hint="eastAsia" w:ascii="仿宋" w:hAnsi="仿宋" w:eastAsia="仿宋" w:cs="仿宋"/>
          <w:sz w:val="28"/>
          <w:szCs w:val="28"/>
        </w:rPr>
        <w:t>。第二志愿考生缴费及准考证打印时间学校另行公布。</w:t>
      </w:r>
      <w:r>
        <w:rPr>
          <w:rFonts w:hint="eastAsia" w:ascii="等线" w:hAnsi="等线" w:eastAsia="仿宋" w:cs="仿宋"/>
          <w:sz w:val="28"/>
          <w:szCs w:val="28"/>
        </w:rPr>
        <w:t>缴费咨询电话：0745-2775611，2775993，打印准考证咨询电话：0745-2775611，2775993。</w:t>
      </w:r>
    </w:p>
    <w:p w14:paraId="7433D8EA">
      <w:pPr>
        <w:spacing w:line="500" w:lineRule="exact"/>
        <w:rPr>
          <w:rFonts w:hint="eastAsia" w:ascii="仿宋" w:hAnsi="仿宋" w:eastAsia="仿宋" w:cs="仿宋"/>
          <w:sz w:val="28"/>
          <w:szCs w:val="28"/>
        </w:rPr>
      </w:pPr>
      <w:r>
        <w:rPr>
          <w:rFonts w:hint="eastAsia" w:ascii="仿宋" w:hAnsi="仿宋" w:eastAsia="仿宋" w:cs="仿宋"/>
          <w:sz w:val="28"/>
          <w:szCs w:val="28"/>
        </w:rPr>
        <w:t>缴费及</w:t>
      </w:r>
      <w:r>
        <w:rPr>
          <w:rFonts w:hint="eastAsia" w:ascii="等线" w:hAnsi="等线" w:eastAsia="仿宋" w:cs="仿宋"/>
          <w:sz w:val="28"/>
          <w:szCs w:val="28"/>
        </w:rPr>
        <w:t>准考证打印</w:t>
      </w:r>
      <w:r>
        <w:rPr>
          <w:rFonts w:hint="eastAsia" w:ascii="仿宋" w:hAnsi="仿宋" w:eastAsia="仿宋" w:cs="仿宋"/>
          <w:sz w:val="28"/>
          <w:szCs w:val="28"/>
        </w:rPr>
        <w:t>流程详见学校单独招生网：</w:t>
      </w:r>
    </w:p>
    <w:p w14:paraId="041582C5">
      <w:pPr>
        <w:spacing w:line="500" w:lineRule="exact"/>
        <w:rPr>
          <w:rFonts w:hint="eastAsia" w:ascii="仿宋" w:hAnsi="仿宋" w:eastAsia="仿宋" w:cs="仿宋"/>
          <w:sz w:val="28"/>
          <w:szCs w:val="28"/>
        </w:rPr>
      </w:pPr>
      <w:r>
        <w:rPr>
          <w:rFonts w:hint="eastAsia" w:ascii="仿宋" w:hAnsi="仿宋" w:eastAsia="仿宋" w:cs="仿宋"/>
          <w:sz w:val="28"/>
          <w:szCs w:val="28"/>
        </w:rPr>
        <w:t>http://zs.hhvtc.com.cn/</w:t>
      </w:r>
      <w:r>
        <w:rPr>
          <w:rFonts w:hint="eastAsia" w:ascii="等线" w:hAnsi="等线" w:eastAsia="仿宋" w:cs="仿宋"/>
          <w:sz w:val="28"/>
          <w:szCs w:val="28"/>
        </w:rPr>
        <w:t>。</w:t>
      </w:r>
    </w:p>
    <w:p w14:paraId="4846797C">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第二十四条</w:t>
      </w:r>
      <w:r>
        <w:rPr>
          <w:rFonts w:hint="eastAsia" w:ascii="等线" w:hAnsi="等线" w:eastAsia="仿宋" w:cs="仿宋"/>
          <w:sz w:val="28"/>
          <w:szCs w:val="28"/>
        </w:rPr>
        <w:t xml:space="preserve"> 我校单招考试在省教育考试院的指导下，参照国家教育考试规定进行组织。在学校招生工作领导小组的统筹下，教务、招生、纪检等部门共同组织考务工作。具体由教务处   </w:t>
      </w:r>
      <w:r>
        <w:rPr>
          <w:rFonts w:hint="eastAsia" w:ascii="等线" w:hAnsi="等线" w:eastAsia="仿宋" w:cs="仿宋"/>
          <w:sz w:val="28"/>
          <w:szCs w:val="28"/>
          <w:u w:val="single"/>
        </w:rPr>
        <w:t xml:space="preserve">             </w:t>
      </w:r>
      <w:r>
        <w:rPr>
          <w:rFonts w:hint="eastAsia" w:ascii="等线" w:hAnsi="等线" w:eastAsia="仿宋" w:cs="仿宋"/>
          <w:sz w:val="28"/>
          <w:szCs w:val="28"/>
        </w:rPr>
        <w:t>牵头组织命题，并负责其保密工作；教务处负责按国考要求制定具体的组考方案，根据报考人数合理安排考场并组织有序考试；教务处组织相关专家参照湖南省普通高考评卷及登分工作有关要求，制定科学合理的评判标准，加大信息公开及结果公示力度，确保考试评判工作公正、透明。</w:t>
      </w:r>
    </w:p>
    <w:p w14:paraId="52AF738C">
      <w:pPr>
        <w:numPr>
          <w:ilvl w:val="255"/>
          <w:numId w:val="0"/>
        </w:numPr>
        <w:spacing w:line="500" w:lineRule="exact"/>
        <w:rPr>
          <w:rFonts w:hint="eastAsia" w:ascii="等线" w:hAnsi="等线" w:eastAsia="仿宋" w:cs="仿宋"/>
          <w:sz w:val="28"/>
          <w:szCs w:val="28"/>
        </w:rPr>
      </w:pPr>
    </w:p>
    <w:p w14:paraId="2FF0921C">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单招录取</w:t>
      </w:r>
    </w:p>
    <w:p w14:paraId="3B220441">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第二十五条</w:t>
      </w:r>
      <w:r>
        <w:rPr>
          <w:rFonts w:hint="eastAsia" w:ascii="等线" w:hAnsi="等线" w:eastAsia="仿宋" w:cs="仿宋"/>
          <w:sz w:val="28"/>
          <w:szCs w:val="28"/>
        </w:rPr>
        <w:t xml:space="preserve"> 应届普通高中毕业考生（第一类考生）、中职考生和往届普通高中考生及同等学力考生（第二类考生）的类别确定及普通高中学业水平合格性考试成绩的认定以省教育考试院提供的数据为依据。普通高中学业水平合格性考试语文、数学、外语有效</w:t>
      </w:r>
      <w:r>
        <w:rPr>
          <w:rFonts w:ascii="等线" w:hAnsi="等线" w:eastAsia="仿宋" w:cs="仿宋"/>
          <w:sz w:val="28"/>
          <w:szCs w:val="28"/>
        </w:rPr>
        <w:t>成</w:t>
      </w:r>
      <w:r>
        <w:rPr>
          <w:rFonts w:hint="eastAsia" w:ascii="等线" w:hAnsi="等线" w:eastAsia="仿宋" w:cs="仿宋"/>
          <w:sz w:val="28"/>
          <w:szCs w:val="28"/>
        </w:rPr>
        <w:t>绩不全</w:t>
      </w:r>
      <w:r>
        <w:rPr>
          <w:rFonts w:ascii="等线" w:hAnsi="等线" w:eastAsia="仿宋" w:cs="仿宋"/>
          <w:sz w:val="28"/>
          <w:szCs w:val="28"/>
        </w:rPr>
        <w:t>的</w:t>
      </w:r>
      <w:r>
        <w:rPr>
          <w:rFonts w:hint="eastAsia" w:ascii="等线" w:hAnsi="等线" w:eastAsia="仿宋" w:cs="仿宋"/>
          <w:sz w:val="28"/>
          <w:szCs w:val="28"/>
        </w:rPr>
        <w:t>应届普通高中毕业考生</w:t>
      </w:r>
      <w:r>
        <w:rPr>
          <w:rFonts w:ascii="等线" w:hAnsi="等线" w:eastAsia="仿宋" w:cs="仿宋"/>
          <w:sz w:val="28"/>
          <w:szCs w:val="28"/>
        </w:rPr>
        <w:t>必须按照</w:t>
      </w:r>
      <w:r>
        <w:rPr>
          <w:rFonts w:hint="eastAsia" w:ascii="等线" w:hAnsi="等线" w:eastAsia="仿宋" w:cs="仿宋"/>
          <w:sz w:val="28"/>
          <w:szCs w:val="28"/>
        </w:rPr>
        <w:t>中职考生和往届普通高中考生及同等学力考生</w:t>
      </w:r>
      <w:r>
        <w:rPr>
          <w:rFonts w:ascii="等线" w:hAnsi="等线" w:eastAsia="仿宋" w:cs="仿宋"/>
          <w:sz w:val="28"/>
          <w:szCs w:val="28"/>
        </w:rPr>
        <w:t>的要求</w:t>
      </w:r>
      <w:r>
        <w:rPr>
          <w:rFonts w:hint="eastAsia" w:ascii="等线" w:hAnsi="等线" w:eastAsia="仿宋" w:cs="仿宋"/>
          <w:sz w:val="28"/>
          <w:szCs w:val="28"/>
        </w:rPr>
        <w:t>参加</w:t>
      </w:r>
      <w:r>
        <w:rPr>
          <w:rFonts w:ascii="等线" w:hAnsi="等线" w:eastAsia="仿宋" w:cs="仿宋"/>
          <w:sz w:val="28"/>
          <w:szCs w:val="28"/>
        </w:rPr>
        <w:t>文化</w:t>
      </w:r>
      <w:r>
        <w:rPr>
          <w:rFonts w:hint="eastAsia" w:ascii="等线" w:hAnsi="等线" w:eastAsia="仿宋" w:cs="仿宋"/>
          <w:sz w:val="28"/>
          <w:szCs w:val="28"/>
        </w:rPr>
        <w:t>素质测试及</w:t>
      </w:r>
      <w:r>
        <w:rPr>
          <w:rFonts w:ascii="等线" w:hAnsi="等线" w:eastAsia="仿宋" w:cs="仿宋"/>
          <w:sz w:val="28"/>
          <w:szCs w:val="28"/>
        </w:rPr>
        <w:t>录取。</w:t>
      </w:r>
    </w:p>
    <w:p w14:paraId="230A016A">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第二十六条</w:t>
      </w:r>
      <w:r>
        <w:rPr>
          <w:rFonts w:hint="eastAsia" w:ascii="等线" w:hAnsi="等线" w:eastAsia="仿宋" w:cs="仿宋"/>
          <w:sz w:val="28"/>
          <w:szCs w:val="28"/>
        </w:rPr>
        <w:t xml:space="preserve"> 单招录取首先对报考单列计划的考生（第三类考生）进行录取，单列计划只录取第一志愿报考的考生，如有剩余单列计划则转为普通类计划录取第一类、第二类考生。</w:t>
      </w:r>
    </w:p>
    <w:p w14:paraId="51E50424">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 xml:space="preserve">第二十七条 </w:t>
      </w:r>
      <w:r>
        <w:rPr>
          <w:rFonts w:hint="eastAsia" w:ascii="等线" w:hAnsi="等线" w:eastAsia="仿宋" w:cs="仿宋"/>
          <w:sz w:val="28"/>
          <w:szCs w:val="28"/>
        </w:rPr>
        <w:t>普通类考生分类别分专业招生计划以实际参考的考生人数为基数，按专业计划数除以该专业参考总人数再乘以各类别参考人数的计算公式列出各专业第一类考生（具有2024年普通高中学业水平合格性考试语文、数学、外语有效成绩）、第二类考生（含普通高中学业水平合格性考试语文、数学、外语有效成绩不全的应届普通高中考生）的实际录取计划数。例如，某专业招生计划共100人，单列计划已录取5人，剩余计划95人录取第一类、第二类学生，如第一类考生、第二类考生一志愿实际参考的人数分别为</w:t>
      </w:r>
      <w:r>
        <w:rPr>
          <w:rFonts w:ascii="等线" w:hAnsi="等线" w:eastAsia="仿宋" w:cs="仿宋"/>
          <w:sz w:val="28"/>
          <w:szCs w:val="28"/>
        </w:rPr>
        <w:t>150</w:t>
      </w:r>
      <w:r>
        <w:rPr>
          <w:rFonts w:hint="eastAsia" w:ascii="等线" w:hAnsi="等线" w:eastAsia="仿宋" w:cs="仿宋"/>
          <w:sz w:val="28"/>
          <w:szCs w:val="28"/>
        </w:rPr>
        <w:t>、</w:t>
      </w:r>
      <w:r>
        <w:rPr>
          <w:rFonts w:ascii="等线" w:hAnsi="等线" w:eastAsia="仿宋" w:cs="仿宋"/>
          <w:sz w:val="28"/>
          <w:szCs w:val="28"/>
        </w:rPr>
        <w:t>50</w:t>
      </w:r>
      <w:r>
        <w:rPr>
          <w:rFonts w:hint="eastAsia" w:ascii="等线" w:hAnsi="等线" w:eastAsia="仿宋" w:cs="仿宋"/>
          <w:sz w:val="28"/>
          <w:szCs w:val="28"/>
        </w:rPr>
        <w:t>人，根据同比例公式计算可得第一类、第二类考生的计划数为71、24人。第一类考生计划数计算公式：95/（150+50）</w:t>
      </w:r>
      <w:r>
        <w:rPr>
          <w:rFonts w:hint="eastAsia" w:ascii="汉仪细圆B5" w:hAnsi="汉仪细圆B5" w:eastAsia="汉仪细圆B5" w:cs="汉仪细圆B5"/>
          <w:sz w:val="28"/>
          <w:szCs w:val="28"/>
        </w:rPr>
        <w:t>×150</w:t>
      </w:r>
      <w:r>
        <w:rPr>
          <w:rFonts w:hint="eastAsia" w:ascii="等线" w:hAnsi="等线" w:eastAsia="仿宋" w:cs="仿宋"/>
          <w:sz w:val="28"/>
          <w:szCs w:val="28"/>
        </w:rPr>
        <w:t>。各类别各专业计划确定后，录取过程中不再调整和追加。</w:t>
      </w:r>
    </w:p>
    <w:p w14:paraId="59DCC19A">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第二十八条</w:t>
      </w:r>
      <w:r>
        <w:rPr>
          <w:rFonts w:hint="eastAsia" w:ascii="等线" w:hAnsi="等线" w:eastAsia="仿宋" w:cs="仿宋"/>
          <w:sz w:val="28"/>
          <w:szCs w:val="28"/>
        </w:rPr>
        <w:t xml:space="preserve"> 单招录取工作按照“学校负责、招办监督”的原则进行。各类别录取时，按照志愿优先的方式进行。各类别按照以下顺序进行。</w:t>
      </w:r>
    </w:p>
    <w:p w14:paraId="04FC19B3">
      <w:pPr>
        <w:widowControl/>
        <w:numPr>
          <w:ilvl w:val="0"/>
          <w:numId w:val="4"/>
        </w:numPr>
        <w:shd w:val="clear" w:color="auto" w:fill="FFFFFF"/>
        <w:spacing w:line="500" w:lineRule="exact"/>
        <w:ind w:firstLine="560" w:firstLineChars="200"/>
        <w:jc w:val="left"/>
        <w:rPr>
          <w:rFonts w:hint="eastAsia" w:ascii="等线" w:hAnsi="等线" w:eastAsia="仿宋" w:cs="仿宋"/>
          <w:sz w:val="28"/>
          <w:szCs w:val="28"/>
        </w:rPr>
      </w:pPr>
      <w:r>
        <w:rPr>
          <w:rFonts w:hint="eastAsia" w:ascii="等线" w:hAnsi="等线" w:eastAsia="仿宋" w:cs="仿宋"/>
          <w:sz w:val="28"/>
          <w:szCs w:val="28"/>
        </w:rPr>
        <w:t>退役军人考生。按考生职业技能测试综合成绩从高分到低分进行录取，录完为止。</w:t>
      </w:r>
    </w:p>
    <w:p w14:paraId="567298F4">
      <w:pPr>
        <w:widowControl/>
        <w:shd w:val="clear" w:color="auto" w:fill="FFFFFF"/>
        <w:spacing w:line="500" w:lineRule="exact"/>
        <w:jc w:val="left"/>
        <w:rPr>
          <w:rFonts w:hint="eastAsia" w:ascii="等线" w:hAnsi="等线" w:eastAsia="仿宋" w:cs="仿宋"/>
          <w:sz w:val="28"/>
          <w:szCs w:val="28"/>
        </w:rPr>
      </w:pPr>
      <w:r>
        <w:rPr>
          <w:rFonts w:hint="eastAsia" w:ascii="等线" w:hAnsi="等线" w:eastAsia="仿宋" w:cs="仿宋"/>
          <w:sz w:val="28"/>
          <w:szCs w:val="28"/>
        </w:rPr>
        <w:t xml:space="preserve">    2.普通类考生。根据各专业分类别招生计划数，依据考生所填报专业按综合成绩从高分到低分进行录取，录满为止。如遇生源不足，则对该专业所对应专业组内未录取且服从调剂的考生按综合成绩从高分到低分进行调剂录取。</w:t>
      </w:r>
    </w:p>
    <w:p w14:paraId="0562B9F0">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第二十九条</w:t>
      </w:r>
      <w:r>
        <w:rPr>
          <w:rFonts w:hint="eastAsia" w:ascii="等线" w:hAnsi="等线" w:eastAsia="仿宋" w:cs="仿宋"/>
          <w:sz w:val="28"/>
          <w:szCs w:val="28"/>
        </w:rPr>
        <w:t xml:space="preserve"> 对于末位同分的考生，依据以下排序原则进行录取。同分排序规则为：文化素质成绩、语文、数学、外语、职业技能测试成绩；退役军人考生末位同分，对同分考生安排加试考试。</w:t>
      </w:r>
    </w:p>
    <w:p w14:paraId="3783D1E1">
      <w:pPr>
        <w:widowControl/>
        <w:shd w:val="clear" w:color="auto" w:fill="FFFFFF"/>
        <w:spacing w:line="500" w:lineRule="exact"/>
        <w:ind w:firstLine="562" w:firstLineChars="200"/>
        <w:jc w:val="left"/>
        <w:rPr>
          <w:rFonts w:hint="eastAsia" w:ascii="等线" w:hAnsi="等线" w:eastAsia="仿宋" w:cs="仿宋"/>
          <w:color w:val="FF0000"/>
          <w:sz w:val="28"/>
          <w:szCs w:val="28"/>
        </w:rPr>
      </w:pPr>
      <w:r>
        <w:rPr>
          <w:rFonts w:hint="eastAsia" w:ascii="等线" w:hAnsi="等线" w:eastAsia="仿宋" w:cs="仿宋"/>
          <w:b/>
          <w:bCs/>
          <w:sz w:val="28"/>
          <w:szCs w:val="28"/>
        </w:rPr>
        <w:t xml:space="preserve">第三十条 </w:t>
      </w:r>
      <w:r>
        <w:rPr>
          <w:rFonts w:hint="eastAsia" w:ascii="等线" w:hAnsi="等线" w:eastAsia="仿宋" w:cs="仿宋"/>
          <w:sz w:val="28"/>
          <w:szCs w:val="28"/>
        </w:rPr>
        <w:t>为保障生源质量，我校提前确定录取合格标准，未合格的不予录取。</w:t>
      </w:r>
      <w:r>
        <w:rPr>
          <w:rFonts w:hint="eastAsia" w:ascii="等线" w:hAnsi="等线" w:eastAsia="仿宋" w:cs="仿宋"/>
          <w:color w:val="FF0000"/>
          <w:sz w:val="28"/>
          <w:szCs w:val="28"/>
        </w:rPr>
        <w:t>不合格标准是：填报虚假高考报名信息；有缺考或舞弊、代考等行为；文化素质测试或职业技能测试科目成绩为零；未按要求在指定时间内办理录取确认手续。</w:t>
      </w:r>
    </w:p>
    <w:p w14:paraId="57176639">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 xml:space="preserve">第三十一条 </w:t>
      </w:r>
      <w:r>
        <w:rPr>
          <w:rFonts w:hint="eastAsia" w:ascii="等线" w:hAnsi="等线" w:eastAsia="仿宋" w:cs="仿宋"/>
          <w:sz w:val="28"/>
          <w:szCs w:val="28"/>
        </w:rPr>
        <w:t>我校将通过官网（</w:t>
      </w:r>
      <w:r>
        <w:rPr>
          <w:rFonts w:hint="eastAsia" w:ascii="等线" w:hAnsi="等线" w:eastAsia="仿宋" w:cs="仿宋"/>
          <w:sz w:val="28"/>
          <w:szCs w:val="28"/>
          <w:u w:val="single"/>
        </w:rPr>
        <w:t>http://zs.hhvtc.com.cn/）</w:t>
      </w:r>
      <w:r>
        <w:rPr>
          <w:rFonts w:hint="eastAsia" w:ascii="等线" w:hAnsi="等线" w:eastAsia="仿宋" w:cs="仿宋"/>
          <w:sz w:val="28"/>
          <w:szCs w:val="28"/>
        </w:rPr>
        <w:t>发布单招拟录取名单，拟录取考生需在我校规定时间内办理相关录取确认手续。</w:t>
      </w:r>
    </w:p>
    <w:p w14:paraId="37B98F78">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第三十二条</w:t>
      </w:r>
      <w:r>
        <w:rPr>
          <w:rFonts w:hint="eastAsia" w:ascii="等线" w:hAnsi="等线" w:eastAsia="仿宋" w:cs="仿宋"/>
          <w:sz w:val="28"/>
          <w:szCs w:val="28"/>
        </w:rPr>
        <w:t xml:space="preserve"> 单招录取的学生不得参加本年度统一高考和普通高校对口招生考试。单招录取的学生不得转学，特殊情况需转专业的，按照《怀化职业技术学院学生管理规定》的规定，在本校当年单招专业范围内转换。</w:t>
      </w:r>
    </w:p>
    <w:p w14:paraId="64C1C49C">
      <w:pPr>
        <w:shd w:val="clear" w:color="auto" w:fill="FFFFFF"/>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第三十三条</w:t>
      </w:r>
      <w:r>
        <w:rPr>
          <w:rFonts w:hint="eastAsia" w:ascii="等线" w:hAnsi="等线" w:eastAsia="仿宋" w:cs="仿宋"/>
          <w:sz w:val="28"/>
          <w:szCs w:val="28"/>
        </w:rPr>
        <w:t xml:space="preserve"> 退役军人考生录取后，我校按照《教育部办公厅关于做好扩招后高职教育教学管理工作的指导意见》（教职成厅函〔2019〕20号）及省教育厅有关文件规定，按照集中全日制教学的原则进行管理和培养。</w:t>
      </w:r>
    </w:p>
    <w:p w14:paraId="78A08297">
      <w:pPr>
        <w:widowControl/>
        <w:shd w:val="clear" w:color="auto" w:fill="FFFFFF"/>
        <w:spacing w:line="500" w:lineRule="exact"/>
        <w:ind w:firstLine="562" w:firstLineChars="200"/>
        <w:jc w:val="left"/>
        <w:rPr>
          <w:rFonts w:hint="eastAsia" w:ascii="仿宋" w:hAnsi="仿宋" w:eastAsia="仿宋" w:cs="仿宋"/>
          <w:sz w:val="28"/>
          <w:szCs w:val="28"/>
        </w:rPr>
      </w:pPr>
      <w:r>
        <w:rPr>
          <w:rFonts w:hint="eastAsia" w:ascii="等线" w:hAnsi="等线" w:eastAsia="仿宋" w:cs="仿宋"/>
          <w:b/>
          <w:bCs/>
          <w:sz w:val="28"/>
          <w:szCs w:val="28"/>
        </w:rPr>
        <w:t xml:space="preserve">第三十四条 </w:t>
      </w:r>
      <w:r>
        <w:rPr>
          <w:rFonts w:hint="eastAsia" w:ascii="等线" w:hAnsi="等线" w:eastAsia="仿宋" w:cs="仿宋"/>
          <w:sz w:val="28"/>
          <w:szCs w:val="28"/>
        </w:rPr>
        <w:t>单招第一志愿录取结束后，如有剩余专业计划，我校将向社会公布有缺额的专业及计划数，并组织第二志愿报考我校且未被第一志愿录取考生举行考试。第二志愿考试要求及录取规则等与第一志愿的相关规定一致。</w:t>
      </w:r>
    </w:p>
    <w:p w14:paraId="40BEC69A">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监督管理</w:t>
      </w:r>
    </w:p>
    <w:p w14:paraId="71D5E393">
      <w:pPr>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 xml:space="preserve">第三十五条 </w:t>
      </w:r>
      <w:r>
        <w:rPr>
          <w:rFonts w:hint="eastAsia" w:ascii="等线" w:hAnsi="等线" w:eastAsia="仿宋" w:cs="仿宋"/>
          <w:sz w:val="28"/>
          <w:szCs w:val="28"/>
        </w:rPr>
        <w:t>单招考试及录取结束后，学校按照要求及时将考试结果及拟录取考生情况在学校官网公示。</w:t>
      </w:r>
    </w:p>
    <w:p w14:paraId="3588723E">
      <w:pPr>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 xml:space="preserve">第三十六条 </w:t>
      </w:r>
      <w:r>
        <w:rPr>
          <w:rFonts w:hint="eastAsia" w:ascii="等线" w:hAnsi="等线" w:eastAsia="仿宋" w:cs="仿宋"/>
          <w:sz w:val="28"/>
          <w:szCs w:val="28"/>
        </w:rPr>
        <w:t>单招期间，确保规范有序、公平公正，在学校纪检监察室全程监督检查下进行单招考试、录取等工作。</w:t>
      </w:r>
    </w:p>
    <w:p w14:paraId="4E938778">
      <w:pPr>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 xml:space="preserve">第三十七条 </w:t>
      </w:r>
      <w:r>
        <w:rPr>
          <w:rFonts w:hint="eastAsia" w:ascii="等线" w:hAnsi="等线" w:eastAsia="仿宋" w:cs="仿宋"/>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可向公安机关反映。</w:t>
      </w:r>
    </w:p>
    <w:p w14:paraId="0CC0E35C">
      <w:pPr>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 xml:space="preserve">第三十八条 </w:t>
      </w:r>
      <w:r>
        <w:rPr>
          <w:rFonts w:hint="eastAsia" w:ascii="等线" w:hAnsi="等线" w:eastAsia="仿宋" w:cs="仿宋"/>
          <w:sz w:val="28"/>
          <w:szCs w:val="28"/>
        </w:rPr>
        <w:t>我校将严格执行招生政策和招生纪律，对于在单招中违规的考生及工作人员，按《国家教育考试违规处理办法》（教育部令33号）和《普通高等学校招生违规行为处理暂行办法》（教育部令36号）所确定的程序和规定进行处理。欢迎考生、家长及社会对我校单招工作进行监督，我校的投诉举报电话为0745-2775000。</w:t>
      </w:r>
    </w:p>
    <w:p w14:paraId="5EDEEEF3">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附则</w:t>
      </w:r>
    </w:p>
    <w:p w14:paraId="2981D8C4">
      <w:pPr>
        <w:pStyle w:val="2"/>
        <w:shd w:val="clear" w:color="auto" w:fill="FFFFFF"/>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第三十九条</w:t>
      </w:r>
      <w:r>
        <w:rPr>
          <w:rFonts w:hint="eastAsia" w:ascii="等线" w:hAnsi="等线" w:eastAsia="仿宋" w:cs="仿宋"/>
          <w:sz w:val="28"/>
          <w:szCs w:val="28"/>
        </w:rPr>
        <w:t xml:space="preserve"> 学校对新生入学设有“绿色通道”。家庭经济特别困难的新生，可持乡（镇）以上人民政府证明向学校学生工作处申请办理学费缓交手续，并可根据国家有关规定申请国家助学贷款。</w:t>
      </w:r>
    </w:p>
    <w:p w14:paraId="75658DAC">
      <w:pPr>
        <w:shd w:val="clear" w:color="auto" w:fill="FFFFFF"/>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 xml:space="preserve">第四十条 </w:t>
      </w:r>
      <w:r>
        <w:rPr>
          <w:rFonts w:hint="eastAsia" w:ascii="等线" w:hAnsi="等线" w:eastAsia="仿宋" w:cs="仿宋"/>
          <w:sz w:val="28"/>
          <w:szCs w:val="28"/>
        </w:rPr>
        <w:t>录取考生的体检标准按照教育部、卫生部、中国残疾人联合会颁布的《普通高等学校招生体检工作指导意见》及有关补充规定执行。</w:t>
      </w:r>
    </w:p>
    <w:p w14:paraId="53F901B5">
      <w:pPr>
        <w:shd w:val="clear" w:color="auto" w:fill="FFFFFF"/>
        <w:spacing w:line="500" w:lineRule="exact"/>
        <w:ind w:firstLine="562" w:firstLineChars="200"/>
        <w:rPr>
          <w:rFonts w:hint="eastAsia" w:ascii="等线" w:hAnsi="等线" w:eastAsia="仿宋" w:cs="仿宋"/>
          <w:b/>
          <w:bCs/>
          <w:sz w:val="32"/>
          <w:szCs w:val="32"/>
        </w:rPr>
      </w:pPr>
      <w:r>
        <w:rPr>
          <w:rFonts w:hint="eastAsia" w:ascii="等线" w:hAnsi="等线" w:eastAsia="仿宋" w:cs="仿宋"/>
          <w:b/>
          <w:bCs/>
          <w:sz w:val="28"/>
          <w:szCs w:val="28"/>
        </w:rPr>
        <w:t xml:space="preserve">第四十一条 </w:t>
      </w:r>
      <w:r>
        <w:rPr>
          <w:rFonts w:hint="eastAsia" w:ascii="等线" w:hAnsi="等线" w:eastAsia="仿宋" w:cs="仿宋"/>
          <w:sz w:val="28"/>
          <w:szCs w:val="28"/>
        </w:rPr>
        <w:t>录取考生的思想政治品德考核和身体健康状况检查均采用考生报考普通高校招生考试或对口招生考试时所采集的信息，学生对提供的信息真实性负责。</w:t>
      </w:r>
    </w:p>
    <w:p w14:paraId="12C37145">
      <w:pPr>
        <w:shd w:val="clear" w:color="auto" w:fill="FFFFFF"/>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第四十二条</w:t>
      </w:r>
      <w:r>
        <w:rPr>
          <w:rFonts w:hint="eastAsia" w:ascii="等线" w:hAnsi="等线" w:eastAsia="仿宋" w:cs="仿宋"/>
          <w:sz w:val="28"/>
          <w:szCs w:val="28"/>
        </w:rPr>
        <w:t xml:space="preserve"> 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6EDD28D9">
      <w:pPr>
        <w:shd w:val="clear" w:color="auto" w:fill="FFFFFF"/>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第四十三条</w:t>
      </w:r>
      <w:r>
        <w:rPr>
          <w:rFonts w:hint="eastAsia" w:ascii="等线" w:hAnsi="等线" w:eastAsia="仿宋" w:cs="仿宋"/>
          <w:sz w:val="28"/>
          <w:szCs w:val="28"/>
        </w:rPr>
        <w:t xml:space="preserve"> 本章程通过湖南省教育考试院和学院官网向社会发布，对于各种媒体节选公布的章程内容，如理解有误，以学校公布的完整单独招生章程为准。</w:t>
      </w:r>
    </w:p>
    <w:p w14:paraId="3575034B">
      <w:pPr>
        <w:pStyle w:val="2"/>
        <w:ind w:firstLine="562" w:firstLineChars="200"/>
        <w:rPr>
          <w:rFonts w:hint="eastAsia" w:ascii="等线" w:hAnsi="等线" w:eastAsia="仿宋" w:cs="仿宋"/>
          <w:sz w:val="28"/>
          <w:szCs w:val="28"/>
        </w:rPr>
      </w:pPr>
      <w:r>
        <w:rPr>
          <w:rFonts w:hint="eastAsia" w:ascii="等线" w:hAnsi="等线" w:eastAsia="仿宋" w:cs="仿宋"/>
          <w:b/>
          <w:bCs/>
          <w:sz w:val="28"/>
          <w:szCs w:val="28"/>
        </w:rPr>
        <w:t xml:space="preserve">第四十四条 </w:t>
      </w:r>
      <w:r>
        <w:rPr>
          <w:rFonts w:hint="eastAsia" w:ascii="等线" w:hAnsi="等线" w:eastAsia="仿宋" w:cs="仿宋"/>
          <w:sz w:val="28"/>
          <w:szCs w:val="28"/>
        </w:rPr>
        <w:t>学校招生联系方式</w:t>
      </w:r>
    </w:p>
    <w:p w14:paraId="650C34D4">
      <w:pPr>
        <w:pStyle w:val="2"/>
        <w:ind w:left="279" w:leftChars="133" w:firstLine="280" w:firstLineChars="100"/>
        <w:rPr>
          <w:rFonts w:hint="eastAsia" w:ascii="等线" w:hAnsi="等线" w:eastAsia="仿宋" w:cs="仿宋"/>
          <w:sz w:val="28"/>
          <w:szCs w:val="28"/>
        </w:rPr>
      </w:pPr>
      <w:r>
        <w:rPr>
          <w:rFonts w:hint="eastAsia" w:ascii="等线" w:hAnsi="等线" w:eastAsia="仿宋" w:cs="仿宋"/>
          <w:sz w:val="28"/>
          <w:szCs w:val="28"/>
        </w:rPr>
        <w:t>通信地址：湖南省怀化国际陆港经济开发区</w:t>
      </w:r>
      <w:r>
        <w:rPr>
          <w:rFonts w:ascii="等线" w:hAnsi="等线" w:eastAsia="仿宋" w:cs="仿宋"/>
          <w:sz w:val="28"/>
          <w:szCs w:val="28"/>
        </w:rPr>
        <w:t xml:space="preserve">209 </w:t>
      </w:r>
      <w:r>
        <w:rPr>
          <w:rFonts w:hint="eastAsia" w:ascii="等线" w:hAnsi="等线" w:eastAsia="仿宋" w:cs="仿宋"/>
          <w:sz w:val="28"/>
          <w:szCs w:val="28"/>
        </w:rPr>
        <w:t>国道与天星西路交汇处</w:t>
      </w:r>
    </w:p>
    <w:p w14:paraId="20538807">
      <w:pPr>
        <w:pStyle w:val="2"/>
        <w:ind w:firstLine="560" w:firstLineChars="200"/>
        <w:rPr>
          <w:rFonts w:hint="eastAsia" w:ascii="等线" w:hAnsi="等线" w:eastAsia="仿宋" w:cs="仿宋"/>
          <w:sz w:val="28"/>
          <w:szCs w:val="28"/>
        </w:rPr>
      </w:pPr>
      <w:r>
        <w:rPr>
          <w:rFonts w:hint="eastAsia" w:ascii="等线" w:hAnsi="等线" w:eastAsia="仿宋" w:cs="仿宋"/>
          <w:sz w:val="28"/>
          <w:szCs w:val="28"/>
        </w:rPr>
        <w:t>邮政编码：418000</w:t>
      </w:r>
    </w:p>
    <w:p w14:paraId="3F96344F">
      <w:pPr>
        <w:pStyle w:val="2"/>
        <w:ind w:firstLine="560" w:firstLineChars="200"/>
        <w:rPr>
          <w:rFonts w:hint="eastAsia" w:ascii="等线" w:hAnsi="等线" w:eastAsia="仿宋" w:cs="仿宋"/>
          <w:sz w:val="28"/>
          <w:szCs w:val="28"/>
          <w:u w:val="single"/>
        </w:rPr>
      </w:pPr>
      <w:r>
        <w:rPr>
          <w:rFonts w:hint="eastAsia" w:ascii="等线" w:hAnsi="等线" w:eastAsia="仿宋" w:cs="仿宋"/>
          <w:sz w:val="28"/>
          <w:szCs w:val="28"/>
        </w:rPr>
        <w:t>招生咨询电话：0745-2775611，2775993</w:t>
      </w:r>
    </w:p>
    <w:p w14:paraId="00618448">
      <w:pPr>
        <w:pStyle w:val="2"/>
        <w:ind w:firstLine="560" w:firstLineChars="200"/>
        <w:rPr>
          <w:rFonts w:hint="eastAsia" w:ascii="等线" w:hAnsi="等线" w:eastAsia="仿宋" w:cs="仿宋"/>
          <w:sz w:val="28"/>
          <w:szCs w:val="28"/>
          <w:u w:val="single"/>
        </w:rPr>
      </w:pPr>
      <w:r>
        <w:rPr>
          <w:rFonts w:hint="eastAsia" w:ascii="等线" w:hAnsi="等线" w:eastAsia="仿宋" w:cs="仿宋"/>
          <w:sz w:val="28"/>
          <w:szCs w:val="28"/>
        </w:rPr>
        <w:t>招生咨询邮箱：hhzyzsc@126.com</w:t>
      </w:r>
    </w:p>
    <w:p w14:paraId="381C7FDF">
      <w:pPr>
        <w:pStyle w:val="2"/>
        <w:ind w:firstLine="560" w:firstLineChars="200"/>
        <w:rPr>
          <w:rFonts w:hint="eastAsia" w:ascii="等线" w:hAnsi="等线" w:eastAsia="仿宋" w:cs="仿宋"/>
          <w:sz w:val="28"/>
          <w:szCs w:val="28"/>
        </w:rPr>
      </w:pPr>
      <w:r>
        <w:rPr>
          <w:rFonts w:hint="eastAsia" w:ascii="等线" w:hAnsi="等线" w:eastAsia="仿宋" w:cs="仿宋"/>
          <w:sz w:val="28"/>
          <w:szCs w:val="28"/>
        </w:rPr>
        <w:t>招生信息发布网址：http://www.hhvtc.com.cn/  （学院官网）</w:t>
      </w:r>
    </w:p>
    <w:p w14:paraId="38624CF4">
      <w:pPr>
        <w:pStyle w:val="2"/>
        <w:ind w:firstLine="3141" w:firstLineChars="1122"/>
        <w:rPr>
          <w:rFonts w:hint="eastAsia" w:ascii="等线" w:hAnsi="等线" w:eastAsia="仿宋" w:cs="仿宋"/>
          <w:sz w:val="28"/>
          <w:szCs w:val="28"/>
        </w:rPr>
      </w:pPr>
      <w:r>
        <w:rPr>
          <w:rFonts w:hint="eastAsia" w:ascii="等线" w:hAnsi="等线" w:eastAsia="仿宋" w:cs="仿宋"/>
          <w:sz w:val="28"/>
          <w:szCs w:val="28"/>
        </w:rPr>
        <w:t xml:space="preserve">http://zs.hhvtc.com.cn/ （招生信息网）                  </w:t>
      </w:r>
    </w:p>
    <w:p w14:paraId="2E2F04AF">
      <w:pPr>
        <w:pStyle w:val="9"/>
        <w:shd w:val="clear" w:color="auto" w:fill="FFFFFF"/>
        <w:spacing w:before="0" w:beforeAutospacing="0" w:after="0" w:afterAutospacing="0" w:line="500" w:lineRule="exact"/>
        <w:ind w:firstLine="560" w:firstLineChars="200"/>
        <w:rPr>
          <w:rFonts w:hint="eastAsia" w:ascii="等线" w:hAnsi="等线" w:eastAsia="仿宋" w:cs="仿宋"/>
          <w:kern w:val="2"/>
          <w:sz w:val="28"/>
          <w:szCs w:val="28"/>
        </w:rPr>
      </w:pPr>
      <w:r>
        <w:rPr>
          <w:rFonts w:hint="eastAsia" w:ascii="等线" w:hAnsi="等线" w:eastAsia="仿宋" w:cs="仿宋"/>
          <w:kern w:val="2"/>
          <w:sz w:val="28"/>
          <w:szCs w:val="28"/>
        </w:rPr>
        <w:t>监督投诉电话：</w:t>
      </w:r>
      <w:r>
        <w:rPr>
          <w:rFonts w:hint="eastAsia" w:ascii="等线" w:hAnsi="等线" w:eastAsia="仿宋" w:cs="仿宋"/>
          <w:sz w:val="28"/>
          <w:szCs w:val="28"/>
        </w:rPr>
        <w:t>0745-2775000</w:t>
      </w:r>
    </w:p>
    <w:p w14:paraId="5CD37175">
      <w:pPr>
        <w:shd w:val="clear" w:color="auto" w:fill="FFFFFF"/>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 xml:space="preserve">第四十五条 </w:t>
      </w:r>
      <w:r>
        <w:rPr>
          <w:rFonts w:hint="eastAsia" w:ascii="等线" w:hAnsi="等线" w:eastAsia="仿宋" w:cs="仿宋"/>
          <w:sz w:val="28"/>
          <w:szCs w:val="28"/>
        </w:rPr>
        <w:t>本章程适用于我校2025年湖南省单招。其解释权属于怀化职业技术学院。</w:t>
      </w:r>
      <w:r>
        <w:rPr>
          <w:rFonts w:hint="eastAsia" w:ascii="等线" w:hAnsi="等线" w:eastAsia="仿宋" w:cs="仿宋"/>
          <w:sz w:val="28"/>
          <w:szCs w:val="28"/>
          <w:shd w:val="clear" w:color="auto" w:fill="FFFFFF"/>
        </w:rPr>
        <w:t>如遇教育部、湖南省教育厅相关招生政策调整，以公布的最新政策为准。</w:t>
      </w:r>
    </w:p>
    <w:p w14:paraId="36B48513">
      <w:pPr>
        <w:numPr>
          <w:ilvl w:val="255"/>
          <w:numId w:val="0"/>
        </w:numPr>
        <w:shd w:val="clear" w:color="auto" w:fill="FFFFFF"/>
        <w:spacing w:line="500" w:lineRule="exact"/>
        <w:ind w:firstLine="560" w:firstLineChars="200"/>
        <w:rPr>
          <w:rFonts w:hint="eastAsia" w:ascii="等线" w:hAnsi="等线" w:eastAsia="仿宋" w:cs="仿宋"/>
          <w:sz w:val="28"/>
          <w:szCs w:val="28"/>
        </w:rPr>
      </w:pPr>
    </w:p>
    <w:p w14:paraId="4661EF23">
      <w:pPr>
        <w:numPr>
          <w:ilvl w:val="255"/>
          <w:numId w:val="0"/>
        </w:numPr>
        <w:shd w:val="clear" w:color="auto" w:fill="FFFFFF"/>
        <w:spacing w:line="500" w:lineRule="exact"/>
        <w:ind w:firstLine="560" w:firstLineChars="200"/>
        <w:rPr>
          <w:rFonts w:hint="eastAsia" w:ascii="等线" w:hAnsi="等线" w:eastAsia="仿宋" w:cs="仿宋"/>
          <w:sz w:val="28"/>
          <w:szCs w:val="28"/>
        </w:rPr>
      </w:pPr>
    </w:p>
    <w:p w14:paraId="361FE543">
      <w:pPr>
        <w:numPr>
          <w:ilvl w:val="255"/>
          <w:numId w:val="0"/>
        </w:numPr>
        <w:shd w:val="clear" w:color="auto" w:fill="FFFFFF"/>
        <w:spacing w:line="500" w:lineRule="exact"/>
        <w:ind w:firstLine="560" w:firstLineChars="200"/>
        <w:rPr>
          <w:rFonts w:hint="eastAsia" w:ascii="等线" w:hAnsi="等线" w:eastAsia="仿宋" w:cs="仿宋"/>
          <w:sz w:val="28"/>
          <w:szCs w:val="28"/>
        </w:rPr>
      </w:pPr>
    </w:p>
    <w:p w14:paraId="00AB0320">
      <w:pPr>
        <w:numPr>
          <w:ilvl w:val="255"/>
          <w:numId w:val="0"/>
        </w:numPr>
        <w:shd w:val="clear" w:color="auto" w:fill="FFFFFF"/>
        <w:spacing w:line="500" w:lineRule="exact"/>
        <w:ind w:firstLine="560" w:firstLineChars="200"/>
        <w:rPr>
          <w:rFonts w:hint="eastAsia" w:ascii="等线" w:hAnsi="等线" w:eastAsia="仿宋" w:cs="仿宋"/>
          <w:sz w:val="28"/>
          <w:szCs w:val="28"/>
        </w:rPr>
      </w:pPr>
    </w:p>
    <w:p w14:paraId="4DFE5ECA">
      <w:pPr>
        <w:numPr>
          <w:ilvl w:val="255"/>
          <w:numId w:val="0"/>
        </w:numPr>
        <w:shd w:val="clear" w:color="auto" w:fill="FFFFFF"/>
        <w:spacing w:line="500" w:lineRule="exact"/>
        <w:ind w:firstLine="560" w:firstLineChars="200"/>
        <w:rPr>
          <w:rFonts w:hint="eastAsia" w:ascii="等线" w:hAnsi="等线" w:eastAsia="仿宋" w:cs="仿宋"/>
          <w:sz w:val="28"/>
          <w:szCs w:val="28"/>
        </w:rPr>
      </w:pPr>
    </w:p>
    <w:p w14:paraId="3B24A991">
      <w:pPr>
        <w:numPr>
          <w:ilvl w:val="255"/>
          <w:numId w:val="0"/>
        </w:numPr>
        <w:shd w:val="clear" w:color="auto" w:fill="FFFFFF"/>
        <w:spacing w:line="500" w:lineRule="exact"/>
        <w:ind w:firstLine="560" w:firstLineChars="200"/>
        <w:rPr>
          <w:rFonts w:hint="eastAsia" w:ascii="等线" w:hAnsi="等线" w:eastAsia="仿宋" w:cs="仿宋"/>
          <w:sz w:val="28"/>
          <w:szCs w:val="28"/>
        </w:rPr>
      </w:pPr>
    </w:p>
    <w:p w14:paraId="2CA6D79F">
      <w:pPr>
        <w:numPr>
          <w:ilvl w:val="255"/>
          <w:numId w:val="0"/>
        </w:numPr>
        <w:shd w:val="clear" w:color="auto" w:fill="FFFFFF"/>
        <w:spacing w:line="500" w:lineRule="exact"/>
        <w:ind w:firstLine="560" w:firstLineChars="200"/>
        <w:rPr>
          <w:rFonts w:hint="eastAsia" w:ascii="等线" w:hAnsi="等线" w:eastAsia="仿宋" w:cs="仿宋"/>
          <w:sz w:val="28"/>
          <w:szCs w:val="28"/>
        </w:rPr>
      </w:pPr>
    </w:p>
    <w:p w14:paraId="0E1AEAE8">
      <w:pPr>
        <w:numPr>
          <w:ilvl w:val="255"/>
          <w:numId w:val="0"/>
        </w:numPr>
        <w:shd w:val="clear" w:color="auto" w:fill="FFFFFF"/>
        <w:spacing w:line="500" w:lineRule="exact"/>
        <w:ind w:firstLine="560" w:firstLineChars="200"/>
        <w:rPr>
          <w:rFonts w:hint="eastAsia" w:ascii="等线" w:hAnsi="等线" w:eastAsia="仿宋" w:cs="仿宋"/>
          <w:sz w:val="28"/>
          <w:szCs w:val="28"/>
        </w:rPr>
      </w:pPr>
    </w:p>
    <w:p w14:paraId="0D6C0ADF">
      <w:pPr>
        <w:numPr>
          <w:ilvl w:val="255"/>
          <w:numId w:val="0"/>
        </w:numPr>
        <w:shd w:val="clear" w:color="auto" w:fill="FFFFFF"/>
        <w:spacing w:line="500" w:lineRule="exact"/>
        <w:ind w:firstLine="560" w:firstLineChars="200"/>
        <w:rPr>
          <w:rFonts w:hint="eastAsia" w:ascii="等线" w:hAnsi="等线" w:eastAsia="仿宋" w:cs="仿宋"/>
          <w:sz w:val="28"/>
          <w:szCs w:val="28"/>
        </w:rPr>
      </w:pPr>
    </w:p>
    <w:p w14:paraId="14D8409D">
      <w:pPr>
        <w:numPr>
          <w:ilvl w:val="255"/>
          <w:numId w:val="0"/>
        </w:numPr>
        <w:shd w:val="clear" w:color="auto" w:fill="FFFFFF"/>
        <w:spacing w:line="500" w:lineRule="exact"/>
        <w:ind w:firstLine="560" w:firstLineChars="200"/>
        <w:rPr>
          <w:rFonts w:hint="eastAsia" w:ascii="等线" w:hAnsi="等线" w:eastAsia="仿宋" w:cs="仿宋"/>
          <w:sz w:val="28"/>
          <w:szCs w:val="28"/>
        </w:rPr>
      </w:pPr>
    </w:p>
    <w:p w14:paraId="1E23576D">
      <w:pPr>
        <w:numPr>
          <w:ilvl w:val="255"/>
          <w:numId w:val="0"/>
        </w:numPr>
        <w:shd w:val="clear" w:color="auto" w:fill="FFFFFF"/>
        <w:spacing w:line="500" w:lineRule="exact"/>
        <w:ind w:firstLine="560" w:firstLineChars="200"/>
        <w:rPr>
          <w:rFonts w:hint="eastAsia" w:ascii="等线" w:hAnsi="等线" w:eastAsia="仿宋" w:cs="仿宋"/>
          <w:sz w:val="28"/>
          <w:szCs w:val="28"/>
        </w:rPr>
      </w:pPr>
    </w:p>
    <w:p w14:paraId="70C37DDA">
      <w:pPr>
        <w:numPr>
          <w:ilvl w:val="255"/>
          <w:numId w:val="0"/>
        </w:numPr>
        <w:shd w:val="clear" w:color="auto" w:fill="FFFFFF"/>
        <w:spacing w:line="500" w:lineRule="exact"/>
        <w:ind w:firstLine="560" w:firstLineChars="200"/>
        <w:rPr>
          <w:rFonts w:hint="eastAsia" w:ascii="等线" w:hAnsi="等线" w:eastAsia="仿宋" w:cs="仿宋"/>
          <w:sz w:val="28"/>
          <w:szCs w:val="28"/>
        </w:rPr>
      </w:pPr>
    </w:p>
    <w:p w14:paraId="60C48B6B">
      <w:pPr>
        <w:numPr>
          <w:ilvl w:val="255"/>
          <w:numId w:val="0"/>
        </w:numPr>
        <w:shd w:val="clear" w:color="auto" w:fill="FFFFFF"/>
        <w:spacing w:line="500" w:lineRule="exact"/>
        <w:ind w:firstLine="560" w:firstLineChars="200"/>
        <w:rPr>
          <w:rFonts w:hint="eastAsia" w:ascii="等线" w:hAnsi="等线" w:eastAsia="仿宋" w:cs="仿宋"/>
          <w:sz w:val="28"/>
          <w:szCs w:val="28"/>
        </w:rPr>
      </w:pPr>
    </w:p>
    <w:p w14:paraId="0C91C1B5">
      <w:pPr>
        <w:numPr>
          <w:ilvl w:val="255"/>
          <w:numId w:val="0"/>
        </w:numPr>
        <w:shd w:val="clear" w:color="auto" w:fill="FFFFFF"/>
        <w:spacing w:line="500" w:lineRule="exact"/>
        <w:ind w:firstLine="560" w:firstLineChars="200"/>
        <w:rPr>
          <w:rFonts w:hint="eastAsia" w:ascii="等线" w:hAnsi="等线" w:eastAsia="仿宋" w:cs="仿宋"/>
          <w:sz w:val="28"/>
          <w:szCs w:val="28"/>
        </w:rPr>
      </w:pPr>
    </w:p>
    <w:p w14:paraId="5E02F41E">
      <w:pPr>
        <w:numPr>
          <w:ilvl w:val="255"/>
          <w:numId w:val="0"/>
        </w:numPr>
        <w:shd w:val="clear" w:color="auto" w:fill="FFFFFF"/>
        <w:spacing w:line="500" w:lineRule="exact"/>
        <w:ind w:firstLine="560" w:firstLineChars="200"/>
        <w:rPr>
          <w:rFonts w:hint="eastAsia" w:ascii="等线" w:hAnsi="等线" w:eastAsia="仿宋" w:cs="仿宋"/>
          <w:sz w:val="28"/>
          <w:szCs w:val="28"/>
        </w:rPr>
      </w:pPr>
    </w:p>
    <w:p w14:paraId="66141916">
      <w:pPr>
        <w:numPr>
          <w:ilvl w:val="255"/>
          <w:numId w:val="0"/>
        </w:numPr>
        <w:shd w:val="clear" w:color="auto" w:fill="FFFFFF"/>
        <w:spacing w:line="500" w:lineRule="exact"/>
        <w:ind w:firstLine="560" w:firstLineChars="200"/>
        <w:rPr>
          <w:rFonts w:hint="eastAsia" w:ascii="等线" w:hAnsi="等线" w:eastAsia="仿宋" w:cs="仿宋"/>
          <w:sz w:val="28"/>
          <w:szCs w:val="28"/>
        </w:rPr>
        <w:sectPr>
          <w:headerReference r:id="rId3" w:type="default"/>
          <w:footerReference r:id="rId4" w:type="default"/>
          <w:pgSz w:w="11906" w:h="16838"/>
          <w:pgMar w:top="1440" w:right="1800" w:bottom="1440" w:left="1800" w:header="851" w:footer="992" w:gutter="0"/>
          <w:cols w:space="720" w:num="1"/>
          <w:docGrid w:type="lines" w:linePitch="312" w:charSpace="0"/>
        </w:sectPr>
      </w:pPr>
    </w:p>
    <w:bookmarkEnd w:id="0"/>
    <w:p w14:paraId="00A1F583">
      <w:pPr>
        <w:pStyle w:val="4"/>
        <w:spacing w:before="27"/>
        <w:ind w:left="229"/>
        <w:rPr>
          <w:rFonts w:hint="eastAsia" w:ascii="黑体" w:eastAsia="黑体"/>
          <w:spacing w:val="-13"/>
          <w:lang w:val="en-US"/>
        </w:rPr>
      </w:pPr>
      <w:r>
        <w:drawing>
          <wp:inline distT="0" distB="0" distL="0" distR="0">
            <wp:extent cx="5829300" cy="87477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829300" cy="8747760"/>
                    </a:xfrm>
                    <a:prstGeom prst="rect">
                      <a:avLst/>
                    </a:prstGeom>
                    <a:noFill/>
                    <a:ln>
                      <a:noFill/>
                    </a:ln>
                  </pic:spPr>
                </pic:pic>
              </a:graphicData>
            </a:graphic>
          </wp:inline>
        </w:drawing>
      </w:r>
    </w:p>
    <w:p w14:paraId="2B8157AE">
      <w:pPr>
        <w:pStyle w:val="4"/>
        <w:spacing w:before="27"/>
        <w:ind w:left="229"/>
        <w:rPr>
          <w:rFonts w:hint="eastAsia" w:ascii="黑体" w:eastAsia="黑体"/>
          <w:spacing w:val="-13"/>
          <w:lang w:val="en-US"/>
        </w:rPr>
      </w:pPr>
      <w:r>
        <w:rPr>
          <w:rFonts w:hint="eastAsia"/>
        </w:rPr>
        <w:drawing>
          <wp:inline distT="0" distB="0" distL="0" distR="0">
            <wp:extent cx="5829300" cy="79705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829300" cy="7970520"/>
                    </a:xfrm>
                    <a:prstGeom prst="rect">
                      <a:avLst/>
                    </a:prstGeom>
                    <a:noFill/>
                    <a:ln>
                      <a:noFill/>
                    </a:ln>
                  </pic:spPr>
                </pic:pic>
              </a:graphicData>
            </a:graphic>
          </wp:inline>
        </w:drawing>
      </w:r>
    </w:p>
    <w:sectPr>
      <w:pgSz w:w="11906" w:h="16838"/>
      <w:pgMar w:top="1440" w:right="1361" w:bottom="1440"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0CFDD5EA-6900-4F0F-B745-16D7B8D86F7B}"/>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2" w:fontKey="{899132A1-B0AB-483E-A7E5-8213E0960842}"/>
  </w:font>
  <w:font w:name="华文中宋">
    <w:panose1 w:val="02010600040101010101"/>
    <w:charset w:val="86"/>
    <w:family w:val="auto"/>
    <w:pitch w:val="default"/>
    <w:sig w:usb0="00000287" w:usb1="080F0000" w:usb2="00000000" w:usb3="00000000" w:csb0="0004009F" w:csb1="DFD70000"/>
    <w:embedRegular r:id="rId3" w:fontKey="{0AEE7753-CD55-4A77-8BBD-694CBF5E7EE0}"/>
  </w:font>
  <w:font w:name="仿宋">
    <w:panose1 w:val="02010609060101010101"/>
    <w:charset w:val="86"/>
    <w:family w:val="modern"/>
    <w:pitch w:val="default"/>
    <w:sig w:usb0="800002BF" w:usb1="38CF7CFA" w:usb2="00000016" w:usb3="00000000" w:csb0="00040001" w:csb1="00000000"/>
    <w:embedRegular r:id="rId4" w:fontKey="{0BD70529-6E93-4483-B231-5AB1A03D63A8}"/>
  </w:font>
  <w:font w:name="方正小标宋简体">
    <w:altName w:val="黑体"/>
    <w:panose1 w:val="00000000000000000000"/>
    <w:charset w:val="86"/>
    <w:family w:val="auto"/>
    <w:pitch w:val="default"/>
    <w:sig w:usb0="00000000" w:usb1="00000000" w:usb2="00000000" w:usb3="00000000" w:csb0="00040000" w:csb1="00000000"/>
    <w:embedRegular r:id="rId5" w:fontKey="{C8F11EEA-C5BB-4079-86B2-36C0D09F34B9}"/>
  </w:font>
  <w:font w:name="汉仪细圆B5">
    <w:altName w:val="仿宋"/>
    <w:panose1 w:val="00000000000000000000"/>
    <w:charset w:val="00"/>
    <w:family w:val="auto"/>
    <w:pitch w:val="default"/>
    <w:sig w:usb0="00000000" w:usb1="00000000" w:usb2="00000000" w:usb3="00000000" w:csb0="00000000" w:csb1="00000000"/>
    <w:embedRegular r:id="rId6" w:fontKey="{4047928B-AD7B-45B2-9C0B-84291B51E8B7}"/>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B620AC">
    <w:pPr>
      <w:pStyle w:val="7"/>
      <w:jc w:val="center"/>
    </w:pPr>
    <w:r>
      <w:fldChar w:fldCharType="begin"/>
    </w:r>
    <w:r>
      <w:instrText xml:space="preserve">PAGE   \* MERGEFORMAT</w:instrText>
    </w:r>
    <w:r>
      <w:fldChar w:fldCharType="separate"/>
    </w:r>
    <w:r>
      <w:t>14</w:t>
    </w:r>
    <w:r>
      <w:fldChar w:fldCharType="end"/>
    </w:r>
  </w:p>
  <w:p w14:paraId="6C104544">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880A7E">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abstractNum w:abstractNumId="1">
    <w:nsid w:val="E382D66B"/>
    <w:multiLevelType w:val="singleLevel"/>
    <w:tmpl w:val="E382D66B"/>
    <w:lvl w:ilvl="0" w:tentative="0">
      <w:start w:val="1"/>
      <w:numFmt w:val="chineseCounting"/>
      <w:suff w:val="space"/>
      <w:lvlText w:val="第%1条"/>
      <w:lvlJc w:val="left"/>
      <w:rPr>
        <w:rFonts w:hint="eastAsia"/>
        <w:b/>
        <w:lang w:val="en-US"/>
      </w:rPr>
    </w:lvl>
  </w:abstractNum>
  <w:abstractNum w:abstractNumId="2">
    <w:nsid w:val="E457E441"/>
    <w:multiLevelType w:val="singleLevel"/>
    <w:tmpl w:val="E457E441"/>
    <w:lvl w:ilvl="0" w:tentative="0">
      <w:start w:val="12"/>
      <w:numFmt w:val="chineseCounting"/>
      <w:suff w:val="space"/>
      <w:lvlText w:val="第%1条"/>
      <w:lvlJc w:val="left"/>
      <w:rPr>
        <w:rFonts w:hint="eastAsia"/>
      </w:rPr>
    </w:lvl>
  </w:abstractNum>
  <w:abstractNum w:abstractNumId="3">
    <w:nsid w:val="4C8A2D5D"/>
    <w:multiLevelType w:val="singleLevel"/>
    <w:tmpl w:val="4C8A2D5D"/>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054A07"/>
    <w:rsid w:val="000130A7"/>
    <w:rsid w:val="000278C3"/>
    <w:rsid w:val="00037508"/>
    <w:rsid w:val="000421E8"/>
    <w:rsid w:val="000474FF"/>
    <w:rsid w:val="0005198F"/>
    <w:rsid w:val="00051CCC"/>
    <w:rsid w:val="00054A07"/>
    <w:rsid w:val="00061B30"/>
    <w:rsid w:val="00064FD4"/>
    <w:rsid w:val="000702EF"/>
    <w:rsid w:val="00071A9C"/>
    <w:rsid w:val="000755A7"/>
    <w:rsid w:val="000861D5"/>
    <w:rsid w:val="00086312"/>
    <w:rsid w:val="00086B99"/>
    <w:rsid w:val="000917EF"/>
    <w:rsid w:val="000924F1"/>
    <w:rsid w:val="0009594F"/>
    <w:rsid w:val="000A23C9"/>
    <w:rsid w:val="000B059A"/>
    <w:rsid w:val="000B7D0E"/>
    <w:rsid w:val="000C17D8"/>
    <w:rsid w:val="000C2961"/>
    <w:rsid w:val="000C3A00"/>
    <w:rsid w:val="000D548C"/>
    <w:rsid w:val="000D6CA2"/>
    <w:rsid w:val="000E57AF"/>
    <w:rsid w:val="000E7D20"/>
    <w:rsid w:val="00101A9C"/>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456F"/>
    <w:rsid w:val="001D7D09"/>
    <w:rsid w:val="001E1249"/>
    <w:rsid w:val="001F01C6"/>
    <w:rsid w:val="001F7B8C"/>
    <w:rsid w:val="00203AEF"/>
    <w:rsid w:val="00205BFB"/>
    <w:rsid w:val="00206CAB"/>
    <w:rsid w:val="002078F5"/>
    <w:rsid w:val="00215533"/>
    <w:rsid w:val="00222848"/>
    <w:rsid w:val="002254D9"/>
    <w:rsid w:val="002306D8"/>
    <w:rsid w:val="00234926"/>
    <w:rsid w:val="0024457C"/>
    <w:rsid w:val="00246E78"/>
    <w:rsid w:val="0025235B"/>
    <w:rsid w:val="0025254F"/>
    <w:rsid w:val="002547D9"/>
    <w:rsid w:val="0025608D"/>
    <w:rsid w:val="002616ED"/>
    <w:rsid w:val="00280E90"/>
    <w:rsid w:val="00281D85"/>
    <w:rsid w:val="00283C77"/>
    <w:rsid w:val="002856DC"/>
    <w:rsid w:val="00290998"/>
    <w:rsid w:val="00293E5C"/>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457F"/>
    <w:rsid w:val="00385889"/>
    <w:rsid w:val="003A6C01"/>
    <w:rsid w:val="003C20A1"/>
    <w:rsid w:val="003C418B"/>
    <w:rsid w:val="003C7CD4"/>
    <w:rsid w:val="003D247F"/>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5944"/>
    <w:rsid w:val="0046746D"/>
    <w:rsid w:val="004718EE"/>
    <w:rsid w:val="0047761D"/>
    <w:rsid w:val="00480C9D"/>
    <w:rsid w:val="00481B20"/>
    <w:rsid w:val="00484EA8"/>
    <w:rsid w:val="00491625"/>
    <w:rsid w:val="004931D1"/>
    <w:rsid w:val="00493788"/>
    <w:rsid w:val="004B246B"/>
    <w:rsid w:val="004C0636"/>
    <w:rsid w:val="004C21B7"/>
    <w:rsid w:val="004C233F"/>
    <w:rsid w:val="004C3B09"/>
    <w:rsid w:val="004D261C"/>
    <w:rsid w:val="004D4E4B"/>
    <w:rsid w:val="004D6194"/>
    <w:rsid w:val="004E0C54"/>
    <w:rsid w:val="004E2B8D"/>
    <w:rsid w:val="004F0E41"/>
    <w:rsid w:val="004F10CE"/>
    <w:rsid w:val="004F4631"/>
    <w:rsid w:val="004F4C5B"/>
    <w:rsid w:val="004F5CC1"/>
    <w:rsid w:val="0050580B"/>
    <w:rsid w:val="00505DE9"/>
    <w:rsid w:val="00506637"/>
    <w:rsid w:val="0051056E"/>
    <w:rsid w:val="005136C5"/>
    <w:rsid w:val="00517A34"/>
    <w:rsid w:val="00526A07"/>
    <w:rsid w:val="00540B5B"/>
    <w:rsid w:val="00542E96"/>
    <w:rsid w:val="00550F5C"/>
    <w:rsid w:val="005623AF"/>
    <w:rsid w:val="005642CF"/>
    <w:rsid w:val="005672A7"/>
    <w:rsid w:val="005674AB"/>
    <w:rsid w:val="00571FD2"/>
    <w:rsid w:val="005755FC"/>
    <w:rsid w:val="005813FA"/>
    <w:rsid w:val="00593F9A"/>
    <w:rsid w:val="00596FAB"/>
    <w:rsid w:val="005971DF"/>
    <w:rsid w:val="005A11F7"/>
    <w:rsid w:val="005A39B9"/>
    <w:rsid w:val="005A4D28"/>
    <w:rsid w:val="005A6BB8"/>
    <w:rsid w:val="005C0B42"/>
    <w:rsid w:val="005C278B"/>
    <w:rsid w:val="005C2FA0"/>
    <w:rsid w:val="005C4245"/>
    <w:rsid w:val="005C52E1"/>
    <w:rsid w:val="005D4B01"/>
    <w:rsid w:val="005D633C"/>
    <w:rsid w:val="005D7A14"/>
    <w:rsid w:val="005E220A"/>
    <w:rsid w:val="005E5834"/>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54FA"/>
    <w:rsid w:val="006C61B4"/>
    <w:rsid w:val="006C6C9D"/>
    <w:rsid w:val="006E0528"/>
    <w:rsid w:val="006E25E0"/>
    <w:rsid w:val="006E316D"/>
    <w:rsid w:val="006E3B04"/>
    <w:rsid w:val="006E459C"/>
    <w:rsid w:val="006E4A9E"/>
    <w:rsid w:val="006E6B29"/>
    <w:rsid w:val="006E7594"/>
    <w:rsid w:val="006F0041"/>
    <w:rsid w:val="006F1FE6"/>
    <w:rsid w:val="006F2544"/>
    <w:rsid w:val="006F6CBC"/>
    <w:rsid w:val="007104D8"/>
    <w:rsid w:val="00712F13"/>
    <w:rsid w:val="00720E6D"/>
    <w:rsid w:val="00721206"/>
    <w:rsid w:val="00723794"/>
    <w:rsid w:val="0072707E"/>
    <w:rsid w:val="007323F4"/>
    <w:rsid w:val="00741D3E"/>
    <w:rsid w:val="00751F8B"/>
    <w:rsid w:val="0075327C"/>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516"/>
    <w:rsid w:val="007A2971"/>
    <w:rsid w:val="007B30EA"/>
    <w:rsid w:val="007B37A6"/>
    <w:rsid w:val="007C0EBD"/>
    <w:rsid w:val="007C17F6"/>
    <w:rsid w:val="007C696A"/>
    <w:rsid w:val="007D5DC8"/>
    <w:rsid w:val="007E06EB"/>
    <w:rsid w:val="007E08DC"/>
    <w:rsid w:val="007F0B20"/>
    <w:rsid w:val="007F106B"/>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46C10"/>
    <w:rsid w:val="00850151"/>
    <w:rsid w:val="008511D6"/>
    <w:rsid w:val="008536D8"/>
    <w:rsid w:val="00860EE2"/>
    <w:rsid w:val="0087167F"/>
    <w:rsid w:val="00874BB2"/>
    <w:rsid w:val="00874C6C"/>
    <w:rsid w:val="00880E98"/>
    <w:rsid w:val="00883BF2"/>
    <w:rsid w:val="008911F1"/>
    <w:rsid w:val="008A2AF6"/>
    <w:rsid w:val="008A460D"/>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1DA9"/>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D5404"/>
    <w:rsid w:val="009D738D"/>
    <w:rsid w:val="009E0606"/>
    <w:rsid w:val="009F05E3"/>
    <w:rsid w:val="009F152E"/>
    <w:rsid w:val="009F60E3"/>
    <w:rsid w:val="00A019A8"/>
    <w:rsid w:val="00A022A1"/>
    <w:rsid w:val="00A037D1"/>
    <w:rsid w:val="00A04B06"/>
    <w:rsid w:val="00A1246A"/>
    <w:rsid w:val="00A1546E"/>
    <w:rsid w:val="00A157A1"/>
    <w:rsid w:val="00A16528"/>
    <w:rsid w:val="00A17A4A"/>
    <w:rsid w:val="00A24E1E"/>
    <w:rsid w:val="00A32641"/>
    <w:rsid w:val="00A3678F"/>
    <w:rsid w:val="00A37504"/>
    <w:rsid w:val="00A42165"/>
    <w:rsid w:val="00A46F76"/>
    <w:rsid w:val="00A53940"/>
    <w:rsid w:val="00A54088"/>
    <w:rsid w:val="00A6439A"/>
    <w:rsid w:val="00A66F78"/>
    <w:rsid w:val="00A7231D"/>
    <w:rsid w:val="00A72C3F"/>
    <w:rsid w:val="00A73197"/>
    <w:rsid w:val="00A741F4"/>
    <w:rsid w:val="00A76E4D"/>
    <w:rsid w:val="00A8326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33BA"/>
    <w:rsid w:val="00B94524"/>
    <w:rsid w:val="00B95FDC"/>
    <w:rsid w:val="00B977C3"/>
    <w:rsid w:val="00BB16CA"/>
    <w:rsid w:val="00BB73B0"/>
    <w:rsid w:val="00BC195E"/>
    <w:rsid w:val="00BC3AFE"/>
    <w:rsid w:val="00BC5EC6"/>
    <w:rsid w:val="00BC7118"/>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6159"/>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2789"/>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56AE0"/>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0D62"/>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976EF"/>
    <w:rsid w:val="00EA3142"/>
    <w:rsid w:val="00EA32C0"/>
    <w:rsid w:val="00EA6ACF"/>
    <w:rsid w:val="00EA7782"/>
    <w:rsid w:val="00EB2D8F"/>
    <w:rsid w:val="00EB36B1"/>
    <w:rsid w:val="00EB399C"/>
    <w:rsid w:val="00EC0A26"/>
    <w:rsid w:val="00EC5847"/>
    <w:rsid w:val="00EC5D78"/>
    <w:rsid w:val="00EC74FB"/>
    <w:rsid w:val="00ED0573"/>
    <w:rsid w:val="00ED7D16"/>
    <w:rsid w:val="00EF638C"/>
    <w:rsid w:val="00F019A6"/>
    <w:rsid w:val="00F027F8"/>
    <w:rsid w:val="00F2043C"/>
    <w:rsid w:val="00F21FB2"/>
    <w:rsid w:val="00F2234A"/>
    <w:rsid w:val="00F23BFA"/>
    <w:rsid w:val="00F24976"/>
    <w:rsid w:val="00F27C34"/>
    <w:rsid w:val="00F32521"/>
    <w:rsid w:val="00F41DA5"/>
    <w:rsid w:val="00F42B2E"/>
    <w:rsid w:val="00F43F36"/>
    <w:rsid w:val="00F4660C"/>
    <w:rsid w:val="00F51424"/>
    <w:rsid w:val="00F5613D"/>
    <w:rsid w:val="00F62451"/>
    <w:rsid w:val="00F720A4"/>
    <w:rsid w:val="00F73D1A"/>
    <w:rsid w:val="00F75382"/>
    <w:rsid w:val="00F77BB6"/>
    <w:rsid w:val="00F84005"/>
    <w:rsid w:val="00FA2166"/>
    <w:rsid w:val="00FA675D"/>
    <w:rsid w:val="00FB4D51"/>
    <w:rsid w:val="00FB7648"/>
    <w:rsid w:val="00FC01F8"/>
    <w:rsid w:val="00FC0F35"/>
    <w:rsid w:val="00FC357F"/>
    <w:rsid w:val="00FE5600"/>
    <w:rsid w:val="00FF2EA4"/>
    <w:rsid w:val="00FF7A49"/>
    <w:rsid w:val="01EF572E"/>
    <w:rsid w:val="023F6BF7"/>
    <w:rsid w:val="02AA213A"/>
    <w:rsid w:val="038E0721"/>
    <w:rsid w:val="04003C23"/>
    <w:rsid w:val="04294F27"/>
    <w:rsid w:val="04C2712A"/>
    <w:rsid w:val="04DF1F2B"/>
    <w:rsid w:val="04ED2D68"/>
    <w:rsid w:val="05254A5F"/>
    <w:rsid w:val="059C75DF"/>
    <w:rsid w:val="059D6B84"/>
    <w:rsid w:val="05AC5C0F"/>
    <w:rsid w:val="06180FF1"/>
    <w:rsid w:val="06A55C71"/>
    <w:rsid w:val="06F53E3D"/>
    <w:rsid w:val="075926EA"/>
    <w:rsid w:val="07987FF3"/>
    <w:rsid w:val="079D1FBD"/>
    <w:rsid w:val="07D94EB6"/>
    <w:rsid w:val="07DB005B"/>
    <w:rsid w:val="07DC2099"/>
    <w:rsid w:val="07FC04D8"/>
    <w:rsid w:val="087C7B4E"/>
    <w:rsid w:val="0AAF0151"/>
    <w:rsid w:val="0ADC163F"/>
    <w:rsid w:val="0B2B471F"/>
    <w:rsid w:val="0B8C708E"/>
    <w:rsid w:val="0BA871E7"/>
    <w:rsid w:val="0BB7681F"/>
    <w:rsid w:val="0BC65453"/>
    <w:rsid w:val="0C004B2C"/>
    <w:rsid w:val="0C2267DE"/>
    <w:rsid w:val="0D511BCD"/>
    <w:rsid w:val="0D9A2F32"/>
    <w:rsid w:val="0F0E57E7"/>
    <w:rsid w:val="0F713C26"/>
    <w:rsid w:val="0FA364D6"/>
    <w:rsid w:val="0FFA0E2A"/>
    <w:rsid w:val="107F26DA"/>
    <w:rsid w:val="10DB6D7F"/>
    <w:rsid w:val="11B318DC"/>
    <w:rsid w:val="11B545A0"/>
    <w:rsid w:val="126B2BAF"/>
    <w:rsid w:val="12996038"/>
    <w:rsid w:val="12A06CFD"/>
    <w:rsid w:val="12CD5AA9"/>
    <w:rsid w:val="12F57335"/>
    <w:rsid w:val="12FD57C9"/>
    <w:rsid w:val="130628D8"/>
    <w:rsid w:val="13511DA5"/>
    <w:rsid w:val="1381162F"/>
    <w:rsid w:val="13A50343"/>
    <w:rsid w:val="13CE6FBC"/>
    <w:rsid w:val="13FB7F63"/>
    <w:rsid w:val="14377C0F"/>
    <w:rsid w:val="14575E03"/>
    <w:rsid w:val="14D666DB"/>
    <w:rsid w:val="14EF4045"/>
    <w:rsid w:val="150D43F1"/>
    <w:rsid w:val="15132AEA"/>
    <w:rsid w:val="152F25BA"/>
    <w:rsid w:val="15323EC6"/>
    <w:rsid w:val="16003D72"/>
    <w:rsid w:val="160C46A9"/>
    <w:rsid w:val="16D263AA"/>
    <w:rsid w:val="17306C2D"/>
    <w:rsid w:val="1817007E"/>
    <w:rsid w:val="18267AB6"/>
    <w:rsid w:val="192D27ED"/>
    <w:rsid w:val="19CE57F5"/>
    <w:rsid w:val="19DE5CD3"/>
    <w:rsid w:val="19E92EA6"/>
    <w:rsid w:val="1A004525"/>
    <w:rsid w:val="1A1C3315"/>
    <w:rsid w:val="1A2F0A01"/>
    <w:rsid w:val="1A4D657E"/>
    <w:rsid w:val="1B6C2FEB"/>
    <w:rsid w:val="1B7A3E63"/>
    <w:rsid w:val="1BB11F7A"/>
    <w:rsid w:val="1BF77544"/>
    <w:rsid w:val="1C334DB0"/>
    <w:rsid w:val="1C4B7CFE"/>
    <w:rsid w:val="1C8342E7"/>
    <w:rsid w:val="1CE7377A"/>
    <w:rsid w:val="1D892944"/>
    <w:rsid w:val="1D8C29A2"/>
    <w:rsid w:val="1D9531D6"/>
    <w:rsid w:val="1DA11ABB"/>
    <w:rsid w:val="1DAD2A8C"/>
    <w:rsid w:val="1E150841"/>
    <w:rsid w:val="1E575166"/>
    <w:rsid w:val="1E6F7E6E"/>
    <w:rsid w:val="1E9C236D"/>
    <w:rsid w:val="1F16734A"/>
    <w:rsid w:val="1F8E612F"/>
    <w:rsid w:val="1FFE758D"/>
    <w:rsid w:val="200F7270"/>
    <w:rsid w:val="202E0E7A"/>
    <w:rsid w:val="20A0611A"/>
    <w:rsid w:val="22D93B65"/>
    <w:rsid w:val="233660B1"/>
    <w:rsid w:val="23416A94"/>
    <w:rsid w:val="234F597E"/>
    <w:rsid w:val="23B95264"/>
    <w:rsid w:val="23BC5A3E"/>
    <w:rsid w:val="23D1216B"/>
    <w:rsid w:val="23F52C20"/>
    <w:rsid w:val="23FC5CD6"/>
    <w:rsid w:val="242A1D2A"/>
    <w:rsid w:val="244823F9"/>
    <w:rsid w:val="25245D32"/>
    <w:rsid w:val="25787421"/>
    <w:rsid w:val="25ED6EF5"/>
    <w:rsid w:val="261C6242"/>
    <w:rsid w:val="26AB5FE8"/>
    <w:rsid w:val="26D63198"/>
    <w:rsid w:val="26F17200"/>
    <w:rsid w:val="274979CF"/>
    <w:rsid w:val="275210BB"/>
    <w:rsid w:val="27AF13DE"/>
    <w:rsid w:val="286D4306"/>
    <w:rsid w:val="29DD040A"/>
    <w:rsid w:val="2A0406E2"/>
    <w:rsid w:val="2A0656A8"/>
    <w:rsid w:val="2A32577F"/>
    <w:rsid w:val="2AAA146C"/>
    <w:rsid w:val="2ABE71EB"/>
    <w:rsid w:val="2C0833AD"/>
    <w:rsid w:val="2C8478F1"/>
    <w:rsid w:val="2CFB6EDA"/>
    <w:rsid w:val="2D0F6B01"/>
    <w:rsid w:val="2D166932"/>
    <w:rsid w:val="2D281971"/>
    <w:rsid w:val="2D535E4A"/>
    <w:rsid w:val="2D9301AF"/>
    <w:rsid w:val="2E6E3CFB"/>
    <w:rsid w:val="2E7A26A0"/>
    <w:rsid w:val="2FAD513C"/>
    <w:rsid w:val="2FC11C09"/>
    <w:rsid w:val="2FC9123E"/>
    <w:rsid w:val="3024522F"/>
    <w:rsid w:val="305D1EAE"/>
    <w:rsid w:val="309914C3"/>
    <w:rsid w:val="30FA004F"/>
    <w:rsid w:val="313703D4"/>
    <w:rsid w:val="313D086B"/>
    <w:rsid w:val="31665B97"/>
    <w:rsid w:val="31723B02"/>
    <w:rsid w:val="318F2491"/>
    <w:rsid w:val="31C51E84"/>
    <w:rsid w:val="32201CAC"/>
    <w:rsid w:val="328D1382"/>
    <w:rsid w:val="33122352"/>
    <w:rsid w:val="33597626"/>
    <w:rsid w:val="339E7C5E"/>
    <w:rsid w:val="33BF47D9"/>
    <w:rsid w:val="33ED199E"/>
    <w:rsid w:val="342B1D46"/>
    <w:rsid w:val="344828F8"/>
    <w:rsid w:val="344F51A3"/>
    <w:rsid w:val="346C7B0F"/>
    <w:rsid w:val="34764968"/>
    <w:rsid w:val="358B3826"/>
    <w:rsid w:val="35EA4102"/>
    <w:rsid w:val="36140CE4"/>
    <w:rsid w:val="36755E71"/>
    <w:rsid w:val="37031F9E"/>
    <w:rsid w:val="37AA1B13"/>
    <w:rsid w:val="37AC319E"/>
    <w:rsid w:val="37BFA028"/>
    <w:rsid w:val="37CD1DE7"/>
    <w:rsid w:val="380A6843"/>
    <w:rsid w:val="38186329"/>
    <w:rsid w:val="38B55CC7"/>
    <w:rsid w:val="38E03E10"/>
    <w:rsid w:val="391060DB"/>
    <w:rsid w:val="395E52C3"/>
    <w:rsid w:val="39756A74"/>
    <w:rsid w:val="39C20F5B"/>
    <w:rsid w:val="39D07618"/>
    <w:rsid w:val="39EE291F"/>
    <w:rsid w:val="3A52002D"/>
    <w:rsid w:val="3A695746"/>
    <w:rsid w:val="3A894D52"/>
    <w:rsid w:val="3AEA4709"/>
    <w:rsid w:val="3AEB1C60"/>
    <w:rsid w:val="3B0A6B5A"/>
    <w:rsid w:val="3B6A683B"/>
    <w:rsid w:val="3B892174"/>
    <w:rsid w:val="3CA73615"/>
    <w:rsid w:val="3DA52E50"/>
    <w:rsid w:val="3DBD6105"/>
    <w:rsid w:val="3DE23DBE"/>
    <w:rsid w:val="3E0633EE"/>
    <w:rsid w:val="3E222F7F"/>
    <w:rsid w:val="3E305F64"/>
    <w:rsid w:val="3E6F38A3"/>
    <w:rsid w:val="3E7F2B45"/>
    <w:rsid w:val="3E8F487D"/>
    <w:rsid w:val="3EAB2402"/>
    <w:rsid w:val="3EEF0AB8"/>
    <w:rsid w:val="3F1A6BAD"/>
    <w:rsid w:val="3FDA284A"/>
    <w:rsid w:val="3FE536F1"/>
    <w:rsid w:val="404023C4"/>
    <w:rsid w:val="404B48EE"/>
    <w:rsid w:val="40581F6E"/>
    <w:rsid w:val="407A208B"/>
    <w:rsid w:val="40E572B5"/>
    <w:rsid w:val="40E879E7"/>
    <w:rsid w:val="40F3694D"/>
    <w:rsid w:val="41005B39"/>
    <w:rsid w:val="410C1185"/>
    <w:rsid w:val="419D3DBE"/>
    <w:rsid w:val="41AA0C03"/>
    <w:rsid w:val="41C95E4D"/>
    <w:rsid w:val="41E9396D"/>
    <w:rsid w:val="427F40C9"/>
    <w:rsid w:val="429960CF"/>
    <w:rsid w:val="42CA6358"/>
    <w:rsid w:val="42D9011C"/>
    <w:rsid w:val="42F02ADA"/>
    <w:rsid w:val="43233126"/>
    <w:rsid w:val="43277BDB"/>
    <w:rsid w:val="434F5A51"/>
    <w:rsid w:val="43F51D34"/>
    <w:rsid w:val="44685BF6"/>
    <w:rsid w:val="451D704F"/>
    <w:rsid w:val="457E7FAC"/>
    <w:rsid w:val="458F1374"/>
    <w:rsid w:val="45B47174"/>
    <w:rsid w:val="45D10756"/>
    <w:rsid w:val="46701BD3"/>
    <w:rsid w:val="46756CDE"/>
    <w:rsid w:val="46A460B4"/>
    <w:rsid w:val="46B04A59"/>
    <w:rsid w:val="46BA646D"/>
    <w:rsid w:val="46FC24A1"/>
    <w:rsid w:val="470D1149"/>
    <w:rsid w:val="4732546E"/>
    <w:rsid w:val="47503B46"/>
    <w:rsid w:val="47EC01A1"/>
    <w:rsid w:val="485831BD"/>
    <w:rsid w:val="48CB3DCC"/>
    <w:rsid w:val="490E5A67"/>
    <w:rsid w:val="492900B7"/>
    <w:rsid w:val="494C2D19"/>
    <w:rsid w:val="495112C6"/>
    <w:rsid w:val="496112DB"/>
    <w:rsid w:val="496B4C67"/>
    <w:rsid w:val="49D56585"/>
    <w:rsid w:val="49EA3855"/>
    <w:rsid w:val="4A2475A4"/>
    <w:rsid w:val="4A742343"/>
    <w:rsid w:val="4AAE3A90"/>
    <w:rsid w:val="4AC35133"/>
    <w:rsid w:val="4AD56ED5"/>
    <w:rsid w:val="4B5B204B"/>
    <w:rsid w:val="4B77BA42"/>
    <w:rsid w:val="4B837B0C"/>
    <w:rsid w:val="4B850531"/>
    <w:rsid w:val="4B8A3E6C"/>
    <w:rsid w:val="4B996A93"/>
    <w:rsid w:val="4BA32DDE"/>
    <w:rsid w:val="4BB4664D"/>
    <w:rsid w:val="4C1930A0"/>
    <w:rsid w:val="4C7F0DE7"/>
    <w:rsid w:val="4C9D15DC"/>
    <w:rsid w:val="4D5072E9"/>
    <w:rsid w:val="4D69668F"/>
    <w:rsid w:val="4D9322BB"/>
    <w:rsid w:val="4DCF13B8"/>
    <w:rsid w:val="4DF9660B"/>
    <w:rsid w:val="4E0046D3"/>
    <w:rsid w:val="4E125FF9"/>
    <w:rsid w:val="4E81291C"/>
    <w:rsid w:val="4E8C63DA"/>
    <w:rsid w:val="4E9502E8"/>
    <w:rsid w:val="4F2621FE"/>
    <w:rsid w:val="4F3E33A7"/>
    <w:rsid w:val="4F8C636A"/>
    <w:rsid w:val="4F8D77AB"/>
    <w:rsid w:val="5010686C"/>
    <w:rsid w:val="5012408F"/>
    <w:rsid w:val="507A753A"/>
    <w:rsid w:val="50C41F9B"/>
    <w:rsid w:val="514279CB"/>
    <w:rsid w:val="514968E8"/>
    <w:rsid w:val="51992547"/>
    <w:rsid w:val="51996F17"/>
    <w:rsid w:val="523C74A6"/>
    <w:rsid w:val="5265391D"/>
    <w:rsid w:val="52BB345C"/>
    <w:rsid w:val="530F0D59"/>
    <w:rsid w:val="540567C7"/>
    <w:rsid w:val="54380789"/>
    <w:rsid w:val="544F44F7"/>
    <w:rsid w:val="5472094E"/>
    <w:rsid w:val="54D1276A"/>
    <w:rsid w:val="54F76490"/>
    <w:rsid w:val="55144405"/>
    <w:rsid w:val="55312A98"/>
    <w:rsid w:val="55474042"/>
    <w:rsid w:val="554967A4"/>
    <w:rsid w:val="556E215B"/>
    <w:rsid w:val="56DC53F6"/>
    <w:rsid w:val="571A66C4"/>
    <w:rsid w:val="57DC0D06"/>
    <w:rsid w:val="58220680"/>
    <w:rsid w:val="58481E52"/>
    <w:rsid w:val="58A35269"/>
    <w:rsid w:val="58C8276C"/>
    <w:rsid w:val="58DC77CA"/>
    <w:rsid w:val="58DF57F5"/>
    <w:rsid w:val="59323EA7"/>
    <w:rsid w:val="5949535F"/>
    <w:rsid w:val="597F35F6"/>
    <w:rsid w:val="599651FE"/>
    <w:rsid w:val="59B2243E"/>
    <w:rsid w:val="5A1117CC"/>
    <w:rsid w:val="5ABE313D"/>
    <w:rsid w:val="5B127639"/>
    <w:rsid w:val="5B8FCF33"/>
    <w:rsid w:val="5BD161ED"/>
    <w:rsid w:val="5CE82B4D"/>
    <w:rsid w:val="5CFF3BED"/>
    <w:rsid w:val="5D0B35B7"/>
    <w:rsid w:val="5D4C7FE2"/>
    <w:rsid w:val="5DA46FBF"/>
    <w:rsid w:val="5DB42C29"/>
    <w:rsid w:val="5E1E79DD"/>
    <w:rsid w:val="5E547F68"/>
    <w:rsid w:val="5F804F7C"/>
    <w:rsid w:val="5F84507B"/>
    <w:rsid w:val="5FA66C4C"/>
    <w:rsid w:val="5FBF32AD"/>
    <w:rsid w:val="5FEB7598"/>
    <w:rsid w:val="600C1085"/>
    <w:rsid w:val="604E4E9A"/>
    <w:rsid w:val="605F4325"/>
    <w:rsid w:val="60964868"/>
    <w:rsid w:val="60F4742F"/>
    <w:rsid w:val="6126799A"/>
    <w:rsid w:val="61A35225"/>
    <w:rsid w:val="61B228BF"/>
    <w:rsid w:val="626055AF"/>
    <w:rsid w:val="62804CAC"/>
    <w:rsid w:val="629C67BC"/>
    <w:rsid w:val="62E670F3"/>
    <w:rsid w:val="630C6032"/>
    <w:rsid w:val="63C35974"/>
    <w:rsid w:val="656B46CF"/>
    <w:rsid w:val="66387CAD"/>
    <w:rsid w:val="664D7F9B"/>
    <w:rsid w:val="66A3028A"/>
    <w:rsid w:val="66A650D9"/>
    <w:rsid w:val="671B1581"/>
    <w:rsid w:val="672A3F5C"/>
    <w:rsid w:val="67DF478F"/>
    <w:rsid w:val="67E11BC9"/>
    <w:rsid w:val="67ED7463"/>
    <w:rsid w:val="6860371C"/>
    <w:rsid w:val="68AE03DB"/>
    <w:rsid w:val="690600B1"/>
    <w:rsid w:val="6950078F"/>
    <w:rsid w:val="69B61AD7"/>
    <w:rsid w:val="6A0B1B52"/>
    <w:rsid w:val="6A6D4D2B"/>
    <w:rsid w:val="6B863A1B"/>
    <w:rsid w:val="6B865BA9"/>
    <w:rsid w:val="6B9615A3"/>
    <w:rsid w:val="6BAC3191"/>
    <w:rsid w:val="6BB95782"/>
    <w:rsid w:val="6BC648A8"/>
    <w:rsid w:val="6D0468F2"/>
    <w:rsid w:val="6D2A0812"/>
    <w:rsid w:val="6D3925E5"/>
    <w:rsid w:val="6D4620B8"/>
    <w:rsid w:val="6D464F20"/>
    <w:rsid w:val="6D5451DC"/>
    <w:rsid w:val="6D5D5B5A"/>
    <w:rsid w:val="6D6F3412"/>
    <w:rsid w:val="6D9E6B0A"/>
    <w:rsid w:val="6DA83E0C"/>
    <w:rsid w:val="6DB61B32"/>
    <w:rsid w:val="6DE92C47"/>
    <w:rsid w:val="6E9D3190"/>
    <w:rsid w:val="6EA10FD4"/>
    <w:rsid w:val="6EE65FD0"/>
    <w:rsid w:val="6EEF5FBA"/>
    <w:rsid w:val="6F1F3C7A"/>
    <w:rsid w:val="6F71DAA7"/>
    <w:rsid w:val="6F9314E5"/>
    <w:rsid w:val="6F9927A9"/>
    <w:rsid w:val="6FD63E81"/>
    <w:rsid w:val="6FEB37AA"/>
    <w:rsid w:val="6FFF35DB"/>
    <w:rsid w:val="703903A6"/>
    <w:rsid w:val="706D4D57"/>
    <w:rsid w:val="70981B5C"/>
    <w:rsid w:val="71454595"/>
    <w:rsid w:val="71F1013E"/>
    <w:rsid w:val="722672E1"/>
    <w:rsid w:val="723E08BB"/>
    <w:rsid w:val="72A471DF"/>
    <w:rsid w:val="72F07C93"/>
    <w:rsid w:val="731D7F10"/>
    <w:rsid w:val="73522870"/>
    <w:rsid w:val="737F09F7"/>
    <w:rsid w:val="73BC1D93"/>
    <w:rsid w:val="74624D35"/>
    <w:rsid w:val="74D001FC"/>
    <w:rsid w:val="74E67981"/>
    <w:rsid w:val="756A1E27"/>
    <w:rsid w:val="75DB056E"/>
    <w:rsid w:val="75FB64DD"/>
    <w:rsid w:val="76300070"/>
    <w:rsid w:val="768B56A2"/>
    <w:rsid w:val="770025E3"/>
    <w:rsid w:val="77271704"/>
    <w:rsid w:val="777BE1E5"/>
    <w:rsid w:val="777F4E56"/>
    <w:rsid w:val="777FFB5A"/>
    <w:rsid w:val="77C01083"/>
    <w:rsid w:val="77F9BDFE"/>
    <w:rsid w:val="780659D7"/>
    <w:rsid w:val="789A7408"/>
    <w:rsid w:val="78DD4B16"/>
    <w:rsid w:val="794111F1"/>
    <w:rsid w:val="795D6D6C"/>
    <w:rsid w:val="79B6B7CA"/>
    <w:rsid w:val="79DC614A"/>
    <w:rsid w:val="79FF8825"/>
    <w:rsid w:val="7A7AC12C"/>
    <w:rsid w:val="7AC47217"/>
    <w:rsid w:val="7AD2618C"/>
    <w:rsid w:val="7AE149BD"/>
    <w:rsid w:val="7AE262DC"/>
    <w:rsid w:val="7B647A4D"/>
    <w:rsid w:val="7BDFE1A2"/>
    <w:rsid w:val="7C2B0102"/>
    <w:rsid w:val="7C7E1CA6"/>
    <w:rsid w:val="7C952974"/>
    <w:rsid w:val="7CFE890A"/>
    <w:rsid w:val="7D5947FB"/>
    <w:rsid w:val="7D7FC70A"/>
    <w:rsid w:val="7D935155"/>
    <w:rsid w:val="7D9854CF"/>
    <w:rsid w:val="7DA50864"/>
    <w:rsid w:val="7DC97BD3"/>
    <w:rsid w:val="7E5C285E"/>
    <w:rsid w:val="7EBF5433"/>
    <w:rsid w:val="7EDEFF37"/>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rPr>
  </w:style>
  <w:style w:type="paragraph" w:styleId="3">
    <w:name w:val="annotation text"/>
    <w:basedOn w:val="1"/>
    <w:link w:val="17"/>
    <w:autoRedefine/>
    <w:qFormat/>
    <w:uiPriority w:val="0"/>
    <w:pPr>
      <w:jc w:val="left"/>
    </w:pPr>
    <w:rPr>
      <w:rFonts w:ascii="Calibri" w:hAnsi="Calibri"/>
      <w:lang w:val="zh-CN"/>
    </w:rPr>
  </w:style>
  <w:style w:type="paragraph" w:styleId="4">
    <w:name w:val="Body Text"/>
    <w:basedOn w:val="1"/>
    <w:link w:val="27"/>
    <w:autoRedefine/>
    <w:qFormat/>
    <w:uiPriority w:val="1"/>
    <w:pPr>
      <w:spacing w:before="5"/>
      <w:ind w:left="138"/>
    </w:pPr>
    <w:rPr>
      <w:rFonts w:ascii="宋体" w:hAnsi="宋体" w:cs="宋体"/>
      <w:sz w:val="32"/>
      <w:szCs w:val="32"/>
      <w:lang w:val="zh-CN" w:bidi="zh-CN"/>
    </w:rPr>
  </w:style>
  <w:style w:type="paragraph" w:styleId="5">
    <w:name w:val="Body Text Indent"/>
    <w:basedOn w:val="1"/>
    <w:link w:val="18"/>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19"/>
    <w:autoRedefine/>
    <w:qFormat/>
    <w:uiPriority w:val="0"/>
    <w:rPr>
      <w:sz w:val="18"/>
      <w:szCs w:val="18"/>
      <w:lang w:val="zh-CN"/>
    </w:rPr>
  </w:style>
  <w:style w:type="paragraph" w:styleId="7">
    <w:name w:val="footer"/>
    <w:basedOn w:val="1"/>
    <w:link w:val="20"/>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autoRedefine/>
    <w:qFormat/>
    <w:uiPriority w:val="0"/>
    <w:rPr>
      <w:b/>
    </w:rPr>
  </w:style>
  <w:style w:type="character" w:styleId="15">
    <w:name w:val="Hyperlink"/>
    <w:basedOn w:val="13"/>
    <w:autoRedefine/>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字符"/>
    <w:link w:val="3"/>
    <w:autoRedefine/>
    <w:qFormat/>
    <w:uiPriority w:val="0"/>
    <w:rPr>
      <w:rFonts w:ascii="Calibri" w:hAnsi="Calibri"/>
      <w:kern w:val="2"/>
      <w:sz w:val="21"/>
      <w:szCs w:val="24"/>
    </w:rPr>
  </w:style>
  <w:style w:type="character" w:customStyle="1" w:styleId="18">
    <w:name w:val="正文文本缩进 字符"/>
    <w:link w:val="5"/>
    <w:autoRedefine/>
    <w:qFormat/>
    <w:uiPriority w:val="0"/>
    <w:rPr>
      <w:rFonts w:ascii="宋体" w:hAnsi="宋体"/>
      <w:kern w:val="2"/>
      <w:sz w:val="30"/>
      <w:szCs w:val="30"/>
    </w:rPr>
  </w:style>
  <w:style w:type="character" w:customStyle="1" w:styleId="19">
    <w:name w:val="批注框文本 字符"/>
    <w:link w:val="6"/>
    <w:autoRedefine/>
    <w:qFormat/>
    <w:uiPriority w:val="0"/>
    <w:rPr>
      <w:kern w:val="2"/>
      <w:sz w:val="18"/>
      <w:szCs w:val="18"/>
    </w:rPr>
  </w:style>
  <w:style w:type="character" w:customStyle="1" w:styleId="20">
    <w:name w:val="页脚 字符"/>
    <w:link w:val="7"/>
    <w:autoRedefine/>
    <w:qFormat/>
    <w:uiPriority w:val="99"/>
    <w:rPr>
      <w:kern w:val="2"/>
      <w:sz w:val="18"/>
      <w:szCs w:val="18"/>
    </w:rPr>
  </w:style>
  <w:style w:type="character" w:customStyle="1" w:styleId="21">
    <w:name w:val="批注主题 字符"/>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autoRedefine/>
    <w:qFormat/>
    <w:uiPriority w:val="1"/>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 w:type="table" w:customStyle="1" w:styleId="25">
    <w:name w:val="Table Normal"/>
    <w:semiHidden/>
    <w:unhideWhenUsed/>
    <w:qFormat/>
    <w:uiPriority w:val="2"/>
    <w:pPr>
      <w:widowControl w:val="0"/>
      <w:autoSpaceDE w:val="0"/>
      <w:autoSpaceDN w:val="0"/>
    </w:pPr>
    <w:rPr>
      <w:rFonts w:asciiTheme="minorHAnsi" w:hAnsiTheme="minorHAnsi" w:eastAsiaTheme="minorEastAsia" w:cstheme="minorBidi"/>
      <w:sz w:val="22"/>
      <w:szCs w:val="22"/>
      <w:lang w:eastAsia="en-US"/>
    </w:rPr>
    <w:tblPr>
      <w:tblCellMar>
        <w:top w:w="0" w:type="dxa"/>
        <w:left w:w="0" w:type="dxa"/>
        <w:bottom w:w="0" w:type="dxa"/>
        <w:right w:w="0" w:type="dxa"/>
      </w:tblCellMar>
    </w:tblPr>
  </w:style>
  <w:style w:type="paragraph" w:customStyle="1" w:styleId="26">
    <w:name w:val="Table Paragraph"/>
    <w:basedOn w:val="1"/>
    <w:qFormat/>
    <w:uiPriority w:val="1"/>
    <w:pPr>
      <w:autoSpaceDE w:val="0"/>
      <w:autoSpaceDN w:val="0"/>
      <w:jc w:val="left"/>
    </w:pPr>
    <w:rPr>
      <w:rFonts w:ascii="宋体" w:hAnsi="宋体" w:cs="宋体"/>
      <w:kern w:val="0"/>
      <w:sz w:val="22"/>
      <w:szCs w:val="22"/>
    </w:rPr>
  </w:style>
  <w:style w:type="character" w:customStyle="1" w:styleId="27">
    <w:name w:val="正文文本 字符"/>
    <w:basedOn w:val="13"/>
    <w:link w:val="4"/>
    <w:qFormat/>
    <w:uiPriority w:val="1"/>
    <w:rPr>
      <w:rFonts w:ascii="宋体" w:hAnsi="宋体" w:cs="宋体"/>
      <w:kern w:val="2"/>
      <w:sz w:val="32"/>
      <w:szCs w:val="32"/>
      <w:lang w:val="zh-CN" w:bidi="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9D16D-86DC-4184-B0ED-1F4D5210261D}">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13</Pages>
  <Words>5925</Words>
  <Characters>6412</Characters>
  <Lines>1</Lines>
  <Paragraphs>1</Paragraphs>
  <TotalTime>13</TotalTime>
  <ScaleCrop>false</ScaleCrop>
  <LinksUpToDate>false</LinksUpToDate>
  <CharactersWithSpaces>6536</CharactersWithSpaces>
  <Application>WPS Office_12.1.0.18334_F1E327BC-269C-435d-A152-05C5408002CA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finely</cp:lastModifiedBy>
  <cp:lastPrinted>2025-01-13T08:23:00Z</cp:lastPrinted>
  <dcterms:modified xsi:type="dcterms:W3CDTF">2025-01-24T05:26:01Z</dcterms:modified>
  <dc:title>湖南商务职业技术学院2014年招生章程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2052-12.1.0.18334</vt:lpwstr>
  </property>
  <property fmtid="{D5CDD505-2E9C-101B-9397-08002B2CF9AE}" pid="3" name="ICV">
    <vt:lpwstr>D90BD121EBA049079CEC4D57DE0FAE86_13</vt:lpwstr>
  </property>
</Properties>
</file>