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nts/font4.odttf" ContentType="application/vnd.openxmlformats-officedocument.obfuscatedFont"/>
  <Override PartName="/word/fonts/font5.odttf" ContentType="application/vnd.openxmlformats-officedocument.obfuscatedFont"/>
  <Override PartName="/word/fonts/font6.odttf" ContentType="application/vnd.openxmlformats-officedocument.obfuscatedFont"/>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A8A5A91">
      <w:pPr>
        <w:spacing w:line="600" w:lineRule="exact"/>
        <w:jc w:val="center"/>
        <w:rPr>
          <w:rFonts w:hint="eastAsia" w:ascii="方正小标宋简体" w:hAnsi="方正小标宋简体" w:eastAsia="方正小标宋简体"/>
          <w:spacing w:val="-8"/>
          <w:sz w:val="44"/>
          <w:szCs w:val="44"/>
        </w:rPr>
      </w:pPr>
      <w:bookmarkStart w:id="0" w:name="zhengwen"/>
      <w:r>
        <w:rPr>
          <w:rFonts w:hint="eastAsia" w:ascii="方正小标宋简体" w:hAnsi="方正小标宋简体" w:eastAsia="方正小标宋简体"/>
          <w:spacing w:val="-8"/>
          <w:sz w:val="44"/>
          <w:szCs w:val="44"/>
        </w:rPr>
        <w:t>湖南商务职业技术学院2025年高职单招章程</w:t>
      </w:r>
    </w:p>
    <w:p w14:paraId="0158E3B2">
      <w:pPr>
        <w:spacing w:before="312" w:beforeLines="100" w:after="312" w:afterLines="100" w:line="600" w:lineRule="exact"/>
        <w:jc w:val="center"/>
        <w:rPr>
          <w:rFonts w:hint="eastAsia" w:ascii="黑体" w:hAnsi="黑体" w:eastAsia="黑体"/>
          <w:sz w:val="32"/>
          <w:szCs w:val="32"/>
        </w:rPr>
      </w:pPr>
      <w:r>
        <w:rPr>
          <w:rFonts w:hint="eastAsia" w:ascii="黑体" w:hAnsi="黑体" w:eastAsia="黑体"/>
          <w:sz w:val="32"/>
          <w:szCs w:val="32"/>
        </w:rPr>
        <w:t xml:space="preserve">第一章 </w:t>
      </w:r>
      <w:r>
        <w:rPr>
          <w:rFonts w:ascii="黑体" w:hAnsi="黑体" w:eastAsia="黑体"/>
          <w:sz w:val="32"/>
          <w:szCs w:val="32"/>
        </w:rPr>
        <w:t xml:space="preserve"> </w:t>
      </w:r>
      <w:r>
        <w:rPr>
          <w:rFonts w:hint="eastAsia" w:ascii="黑体" w:hAnsi="黑体" w:eastAsia="黑体"/>
          <w:sz w:val="32"/>
          <w:szCs w:val="32"/>
        </w:rPr>
        <w:t>总  则</w:t>
      </w:r>
    </w:p>
    <w:p w14:paraId="1AE4A814">
      <w:pPr>
        <w:widowControl/>
        <w:spacing w:line="560" w:lineRule="exact"/>
        <w:ind w:firstLine="643" w:firstLineChars="200"/>
        <w:rPr>
          <w:rFonts w:hint="eastAsia" w:ascii="仿宋_GB2312" w:hAnsi="仿宋_GB2312" w:eastAsia="仿宋_GB2312" w:cs="仿宋_GB2312"/>
          <w:sz w:val="32"/>
          <w:szCs w:val="32"/>
        </w:rPr>
      </w:pPr>
      <w:r>
        <w:rPr>
          <w:rFonts w:hint="eastAsia" w:ascii="楷体_GB2312" w:hAnsi="楷体_GB2312" w:eastAsia="楷体_GB2312" w:cs="楷体_GB2312"/>
          <w:b/>
          <w:sz w:val="32"/>
          <w:szCs w:val="32"/>
        </w:rPr>
        <w:t>第一条</w:t>
      </w:r>
      <w:r>
        <w:rPr>
          <w:rFonts w:hint="eastAsia" w:ascii="仿宋_GB2312" w:hAnsi="仿宋_GB2312" w:eastAsia="仿宋_GB2312" w:cs="仿宋_GB2312"/>
          <w:sz w:val="32"/>
          <w:szCs w:val="32"/>
        </w:rPr>
        <w:t xml:space="preserve"> 根据《中华人民共和国教育法》《中华人民共和国高等教育法》等法律法规及教育部有关规定，依据湖南省教育厅《关于做好湖南省 2025年高职（高专）院校单独招生工作的通知》（湘教通〔2024〕271 号）及湖南省教育考试院《关于做好我省2025年高职院校单独招生工作具体事项的通知》（湘教考通〔2025〕1 号）的有关要求，结合学院单独招生工作（以下简称单招）实际，制定本章程。</w:t>
      </w:r>
    </w:p>
    <w:p w14:paraId="26AE6A85">
      <w:pPr>
        <w:spacing w:line="560" w:lineRule="exact"/>
        <w:ind w:firstLine="643" w:firstLineChars="200"/>
        <w:rPr>
          <w:rFonts w:hint="eastAsia" w:ascii="仿宋_GB2312" w:hAnsi="仿宋_GB2312" w:eastAsia="仿宋_GB2312" w:cs="仿宋_GB2312"/>
          <w:sz w:val="32"/>
          <w:szCs w:val="32"/>
        </w:rPr>
      </w:pPr>
      <w:r>
        <w:rPr>
          <w:rFonts w:hint="eastAsia" w:ascii="楷体_GB2312" w:hAnsi="楷体_GB2312" w:eastAsia="楷体_GB2312" w:cs="楷体_GB2312"/>
          <w:b/>
          <w:sz w:val="32"/>
          <w:szCs w:val="32"/>
        </w:rPr>
        <w:t>第二条</w:t>
      </w:r>
      <w:r>
        <w:rPr>
          <w:rFonts w:hint="eastAsia" w:ascii="仿宋_GB2312" w:hAnsi="仿宋_GB2312" w:eastAsia="仿宋_GB2312" w:cs="仿宋_GB2312"/>
          <w:sz w:val="32"/>
          <w:szCs w:val="32"/>
        </w:rPr>
        <w:t xml:space="preserve"> 学校全称：湖南商务职业技术学院                 </w:t>
      </w:r>
    </w:p>
    <w:p w14:paraId="76CD38D6">
      <w:pPr>
        <w:spacing w:line="56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办学地点：湖南省长沙市湘江新区雷锋大道413号</w:t>
      </w:r>
    </w:p>
    <w:p w14:paraId="61B36C5B">
      <w:pPr>
        <w:spacing w:line="56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主管部门：湖南省教育厅            </w:t>
      </w:r>
    </w:p>
    <w:p w14:paraId="247E8D0F">
      <w:pPr>
        <w:spacing w:line="56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办学层次：高职（专科）</w:t>
      </w:r>
    </w:p>
    <w:p w14:paraId="71CE85B1">
      <w:pPr>
        <w:spacing w:line="56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湖南省院校代号：4374</w:t>
      </w:r>
    </w:p>
    <w:p w14:paraId="34F1A822">
      <w:pPr>
        <w:spacing w:line="56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办学类型：全日制公办</w:t>
      </w:r>
    </w:p>
    <w:p w14:paraId="261BA61F">
      <w:pPr>
        <w:spacing w:line="560" w:lineRule="exact"/>
        <w:ind w:firstLine="643" w:firstLineChars="200"/>
        <w:rPr>
          <w:rFonts w:hint="eastAsia" w:ascii="仿宋_GB2312" w:hAnsi="仿宋_GB2312" w:eastAsia="仿宋_GB2312" w:cs="仿宋_GB2312"/>
          <w:sz w:val="32"/>
          <w:szCs w:val="32"/>
        </w:rPr>
      </w:pPr>
      <w:r>
        <w:rPr>
          <w:rFonts w:hint="eastAsia" w:ascii="楷体_GB2312" w:hAnsi="楷体_GB2312" w:eastAsia="楷体_GB2312" w:cs="楷体_GB2312"/>
          <w:b/>
          <w:sz w:val="32"/>
          <w:szCs w:val="32"/>
        </w:rPr>
        <w:t>第三条</w:t>
      </w:r>
      <w:r>
        <w:rPr>
          <w:rFonts w:hint="eastAsia" w:ascii="仿宋_GB2312" w:hAnsi="仿宋_GB2312" w:eastAsia="仿宋_GB2312" w:cs="仿宋_GB2312"/>
          <w:sz w:val="32"/>
          <w:szCs w:val="32"/>
        </w:rPr>
        <w:t xml:space="preserve"> 颁发学历证书的学校名称：湖南商务职业技术学院</w:t>
      </w:r>
    </w:p>
    <w:p w14:paraId="35138AD5">
      <w:pPr>
        <w:spacing w:line="56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证书种类：普通高等学校全日制专科毕业证书</w:t>
      </w:r>
    </w:p>
    <w:p w14:paraId="2797E8BD">
      <w:pPr>
        <w:spacing w:line="560" w:lineRule="exact"/>
        <w:ind w:firstLine="643" w:firstLineChars="200"/>
        <w:rPr>
          <w:rFonts w:hint="eastAsia" w:ascii="仿宋_GB2312" w:hAnsi="仿宋_GB2312" w:eastAsia="仿宋_GB2312" w:cs="仿宋_GB2312"/>
          <w:sz w:val="32"/>
          <w:szCs w:val="32"/>
        </w:rPr>
      </w:pPr>
      <w:r>
        <w:rPr>
          <w:rFonts w:hint="eastAsia" w:ascii="楷体_GB2312" w:hAnsi="楷体_GB2312" w:eastAsia="楷体_GB2312" w:cs="楷体_GB2312"/>
          <w:b/>
          <w:sz w:val="32"/>
          <w:szCs w:val="32"/>
        </w:rPr>
        <w:t>第四条</w:t>
      </w:r>
      <w:r>
        <w:rPr>
          <w:rFonts w:hint="eastAsia" w:ascii="仿宋_GB2312" w:hAnsi="仿宋_GB2312" w:eastAsia="仿宋_GB2312" w:cs="仿宋_GB2312"/>
          <w:sz w:val="32"/>
          <w:szCs w:val="32"/>
        </w:rPr>
        <w:t xml:space="preserve"> 学院单招工作遵循“公平竞争、公正选拔、公开透明”的原则，坚决执行招生政策规定和纪律要求，严格实施考试招生“阳光工程”。</w:t>
      </w:r>
    </w:p>
    <w:p w14:paraId="344FB555">
      <w:pPr>
        <w:spacing w:line="560" w:lineRule="exact"/>
        <w:ind w:firstLine="643" w:firstLineChars="200"/>
        <w:rPr>
          <w:rFonts w:hint="eastAsia" w:ascii="仿宋_GB2312" w:hAnsi="仿宋_GB2312" w:eastAsia="仿宋_GB2312" w:cs="仿宋_GB2312"/>
          <w:sz w:val="32"/>
          <w:szCs w:val="32"/>
        </w:rPr>
      </w:pPr>
      <w:r>
        <w:rPr>
          <w:rFonts w:hint="eastAsia" w:ascii="楷体_GB2312" w:hAnsi="楷体_GB2312" w:eastAsia="楷体_GB2312" w:cs="楷体_GB2312"/>
          <w:b/>
          <w:sz w:val="32"/>
          <w:szCs w:val="32"/>
        </w:rPr>
        <w:t>第五条</w:t>
      </w:r>
      <w:r>
        <w:rPr>
          <w:rFonts w:hint="eastAsia" w:ascii="仿宋_GB2312" w:hAnsi="仿宋_GB2312" w:eastAsia="仿宋_GB2312" w:cs="仿宋_GB2312"/>
          <w:sz w:val="32"/>
          <w:szCs w:val="32"/>
        </w:rPr>
        <w:t xml:space="preserve"> 学院简介：湖南商务职业技术学院创建于1950年，是由湖南省人民政府举办，湖南省教育厅主管的一所公办全日制普通高等学校，是新中国最早设立的商科学校之一。70多年来，学院秉承“强商惠农、强能泽生”的办学理念，培养以财经商贸类为主的高素质技术技能型人才。学院</w:t>
      </w:r>
      <w:bookmarkStart w:id="1" w:name="_Hlk155707185"/>
      <w:r>
        <w:rPr>
          <w:rFonts w:hint="eastAsia" w:ascii="仿宋_GB2312" w:hAnsi="仿宋_GB2312" w:eastAsia="仿宋_GB2312" w:cs="仿宋_GB2312"/>
          <w:sz w:val="32"/>
          <w:szCs w:val="32"/>
        </w:rPr>
        <w:t>是教育部人才培养工作水平评估优秀高职院校、教育部首批职业院校数字校园建设试点校、全国供销合作总社示范性高职院校、全国职业院校乡村振兴协作联盟理事长单位、湖南省示范性高职院校、省卓越高职院校、省“楚怡”高水平高职专业群（A档）建设单位、省“楚怡工匠计划”试点高职院校、省现代学徒制试点院校、省乡村振兴人才培养优质校、省智慧教育平台推广应用示范校、省文明标兵校园、省平安</w:t>
      </w:r>
      <w:bookmarkEnd w:id="1"/>
      <w:r>
        <w:rPr>
          <w:rFonts w:hint="eastAsia" w:ascii="仿宋_GB2312" w:hAnsi="仿宋_GB2312" w:eastAsia="仿宋_GB2312" w:cs="仿宋_GB2312"/>
          <w:sz w:val="32"/>
          <w:szCs w:val="32"/>
        </w:rPr>
        <w:t xml:space="preserve">校园，被全国供销合作总社确立为电子商务培训基地，被教育部、工业信息化部确立为计算机应用与软件技术专业领域技能型紧缺人才培养培训基地，被省农业农村厅确立为高素质农民培训省级培训机构、乡村振兴创业致富带头人省级培训基地，被省教科规划领导小组确立为湖南省“十四五”教育科学研政校企融合研究重点培育基地。                                                  </w:t>
      </w:r>
    </w:p>
    <w:p w14:paraId="64AFCF85">
      <w:pPr>
        <w:spacing w:before="156" w:beforeLines="50" w:after="156" w:afterLines="50" w:line="560" w:lineRule="exact"/>
        <w:jc w:val="center"/>
        <w:rPr>
          <w:rFonts w:hint="eastAsia" w:ascii="黑体" w:hAnsi="黑体" w:eastAsia="黑体" w:cs="黑体"/>
          <w:sz w:val="32"/>
          <w:szCs w:val="32"/>
        </w:rPr>
      </w:pPr>
      <w:r>
        <w:rPr>
          <w:rFonts w:hint="eastAsia" w:ascii="黑体" w:hAnsi="黑体" w:eastAsia="黑体" w:cs="黑体"/>
          <w:sz w:val="32"/>
          <w:szCs w:val="32"/>
        </w:rPr>
        <w:t>第二章  组织机构及职责</w:t>
      </w:r>
    </w:p>
    <w:p w14:paraId="07070F82">
      <w:pPr>
        <w:spacing w:line="560" w:lineRule="exact"/>
        <w:ind w:firstLine="643" w:firstLineChars="200"/>
        <w:rPr>
          <w:rFonts w:hint="eastAsia" w:ascii="仿宋_GB2312" w:hAnsi="仿宋_GB2312" w:eastAsia="仿宋_GB2312" w:cs="仿宋_GB2312"/>
          <w:sz w:val="32"/>
          <w:szCs w:val="32"/>
        </w:rPr>
      </w:pPr>
      <w:r>
        <w:rPr>
          <w:rFonts w:hint="eastAsia" w:ascii="楷体_GB2312" w:hAnsi="楷体_GB2312" w:eastAsia="楷体_GB2312" w:cs="楷体_GB2312"/>
          <w:b/>
          <w:sz w:val="32"/>
          <w:szCs w:val="32"/>
        </w:rPr>
        <w:t>第六条</w:t>
      </w:r>
      <w:r>
        <w:rPr>
          <w:rFonts w:hint="eastAsia" w:ascii="仿宋_GB2312" w:hAnsi="仿宋_GB2312" w:eastAsia="仿宋_GB2312" w:cs="仿宋_GB2312"/>
          <w:sz w:val="32"/>
          <w:szCs w:val="32"/>
        </w:rPr>
        <w:t xml:space="preserve"> 学院招生工作委员会全面负责学院单独招生工作，学院招生就业处负责单招组织实施的日常工作，学院教务处负责单招的考试组织工作。</w:t>
      </w:r>
    </w:p>
    <w:p w14:paraId="102C4EBE">
      <w:pPr>
        <w:spacing w:line="560" w:lineRule="exact"/>
        <w:ind w:firstLine="643" w:firstLineChars="200"/>
        <w:rPr>
          <w:rFonts w:hint="eastAsia" w:ascii="仿宋_GB2312" w:hAnsi="仿宋_GB2312" w:eastAsia="仿宋_GB2312" w:cs="仿宋_GB2312"/>
          <w:sz w:val="32"/>
          <w:szCs w:val="32"/>
        </w:rPr>
      </w:pPr>
      <w:r>
        <w:rPr>
          <w:rFonts w:hint="eastAsia" w:ascii="楷体_GB2312" w:hAnsi="楷体_GB2312" w:eastAsia="楷体_GB2312" w:cs="楷体_GB2312"/>
          <w:b/>
          <w:sz w:val="32"/>
          <w:szCs w:val="32"/>
        </w:rPr>
        <w:t>第七条</w:t>
      </w:r>
      <w:r>
        <w:rPr>
          <w:rFonts w:hint="eastAsia" w:ascii="仿宋_GB2312" w:hAnsi="仿宋_GB2312" w:eastAsia="仿宋_GB2312" w:cs="仿宋_GB2312"/>
          <w:sz w:val="32"/>
          <w:szCs w:val="32"/>
        </w:rPr>
        <w:t xml:space="preserve"> 学院纪检监察处负责全程监督检查单招工作。</w:t>
      </w:r>
    </w:p>
    <w:p w14:paraId="66861B0A">
      <w:pPr>
        <w:spacing w:before="156" w:beforeLines="50" w:after="156" w:afterLines="50" w:line="560" w:lineRule="exact"/>
        <w:jc w:val="center"/>
        <w:rPr>
          <w:rFonts w:hint="eastAsia" w:ascii="黑体" w:hAnsi="黑体" w:eastAsia="黑体" w:cs="黑体"/>
          <w:sz w:val="32"/>
          <w:szCs w:val="32"/>
        </w:rPr>
      </w:pPr>
      <w:r>
        <w:rPr>
          <w:rFonts w:hint="eastAsia" w:ascii="黑体" w:hAnsi="黑体" w:eastAsia="黑体" w:cs="黑体"/>
          <w:sz w:val="32"/>
          <w:szCs w:val="32"/>
        </w:rPr>
        <w:t>第三章  单招报考</w:t>
      </w:r>
    </w:p>
    <w:p w14:paraId="381F6F5B">
      <w:pPr>
        <w:spacing w:line="560" w:lineRule="exact"/>
        <w:ind w:firstLine="643" w:firstLineChars="200"/>
        <w:rPr>
          <w:rFonts w:hint="eastAsia" w:ascii="仿宋_GB2312" w:hAnsi="仿宋_GB2312" w:eastAsia="仿宋_GB2312" w:cs="仿宋_GB2312"/>
          <w:sz w:val="32"/>
          <w:szCs w:val="32"/>
        </w:rPr>
      </w:pPr>
      <w:r>
        <w:rPr>
          <w:rFonts w:hint="eastAsia" w:ascii="楷体_GB2312" w:hAnsi="楷体_GB2312" w:eastAsia="楷体_GB2312" w:cs="楷体_GB2312"/>
          <w:b/>
          <w:sz w:val="32"/>
          <w:szCs w:val="32"/>
        </w:rPr>
        <w:t>第八条</w:t>
      </w:r>
      <w:r>
        <w:rPr>
          <w:rFonts w:hint="eastAsia" w:ascii="仿宋_GB2312" w:hAnsi="仿宋_GB2312" w:eastAsia="仿宋_GB2312" w:cs="仿宋_GB2312"/>
          <w:sz w:val="32"/>
          <w:szCs w:val="32"/>
        </w:rPr>
        <w:t xml:space="preserve"> 符合我省2025年普通高考（含对口招生考试）报名条件并已参加高考报名的人员，均可报考。</w:t>
      </w:r>
    </w:p>
    <w:p w14:paraId="1AC75664">
      <w:pPr>
        <w:spacing w:line="560" w:lineRule="exact"/>
        <w:ind w:firstLine="643" w:firstLineChars="200"/>
        <w:rPr>
          <w:rFonts w:hint="eastAsia" w:ascii="仿宋_GB2312" w:hAnsi="仿宋_GB2312" w:eastAsia="仿宋_GB2312" w:cs="仿宋_GB2312"/>
          <w:sz w:val="32"/>
          <w:szCs w:val="32"/>
        </w:rPr>
      </w:pPr>
      <w:r>
        <w:rPr>
          <w:rFonts w:hint="eastAsia" w:ascii="楷体_GB2312" w:hAnsi="楷体_GB2312" w:eastAsia="楷体_GB2312" w:cs="楷体_GB2312"/>
          <w:b/>
          <w:sz w:val="32"/>
          <w:szCs w:val="32"/>
        </w:rPr>
        <w:t>第九条</w:t>
      </w:r>
      <w:r>
        <w:rPr>
          <w:rFonts w:hint="eastAsia" w:ascii="仿宋_GB2312" w:hAnsi="仿宋_GB2312" w:eastAsia="仿宋_GB2312" w:cs="仿宋_GB2312"/>
          <w:sz w:val="32"/>
          <w:szCs w:val="32"/>
        </w:rPr>
        <w:t xml:space="preserve"> 全省单招统一报考和填报志愿时间为2025年2月18日8:00－2月25日17:00，实行网上报考和填报志愿。单招报考设第一志愿和第二志愿，考生可选择1－2所院校在指定网上平台进行报考。</w:t>
      </w:r>
    </w:p>
    <w:p w14:paraId="5C25D198">
      <w:pPr>
        <w:spacing w:line="56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在此期间，考生须登录以下指定系统（统称“考生信息填报系统”）进行志愿填报。</w:t>
      </w:r>
    </w:p>
    <w:p w14:paraId="0784D52F">
      <w:pPr>
        <w:spacing w:line="56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1.湖南省普通高校招生考试考生综合信息平台（网址：</w:t>
      </w:r>
      <w:r>
        <w:fldChar w:fldCharType="begin"/>
      </w:r>
      <w:r>
        <w:instrText xml:space="preserve"> HYPERLINK "https://ks.hneao.cn）" </w:instrText>
      </w:r>
      <w:r>
        <w:fldChar w:fldCharType="separate"/>
      </w:r>
      <w:r>
        <w:rPr>
          <w:rStyle w:val="15"/>
          <w:rFonts w:hint="eastAsia" w:ascii="仿宋_GB2312" w:hAnsi="仿宋_GB2312" w:eastAsia="仿宋_GB2312" w:cs="仿宋_GB2312"/>
          <w:sz w:val="32"/>
          <w:szCs w:val="32"/>
        </w:rPr>
        <w:t>https://ks.hneao.cn）</w:t>
      </w:r>
      <w:r>
        <w:rPr>
          <w:rStyle w:val="15"/>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w:t>
      </w:r>
    </w:p>
    <w:p w14:paraId="2A665D64">
      <w:pPr>
        <w:spacing w:line="56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2.“潇湘高考”APP（通过苹果应用商店、腾讯应用宝、华为应用商店、小米应用商店或“湖南省普通高校招生考试考生综合信息平台”首页下载APP）填报报考志愿信息。</w:t>
      </w:r>
    </w:p>
    <w:p w14:paraId="3EBAC4FF">
      <w:pPr>
        <w:spacing w:line="560" w:lineRule="exact"/>
        <w:ind w:firstLine="643" w:firstLineChars="200"/>
        <w:rPr>
          <w:rFonts w:hint="eastAsia" w:ascii="仿宋_GB2312" w:hAnsi="仿宋_GB2312" w:eastAsia="仿宋_GB2312" w:cs="仿宋_GB2312"/>
          <w:sz w:val="32"/>
          <w:szCs w:val="32"/>
        </w:rPr>
      </w:pPr>
      <w:r>
        <w:rPr>
          <w:rFonts w:hint="eastAsia" w:ascii="楷体_GB2312" w:hAnsi="楷体_GB2312" w:eastAsia="楷体_GB2312" w:cs="楷体_GB2312"/>
          <w:b/>
          <w:sz w:val="32"/>
          <w:szCs w:val="32"/>
        </w:rPr>
        <w:t>第十条</w:t>
      </w:r>
      <w:r>
        <w:rPr>
          <w:rFonts w:hint="eastAsia" w:ascii="仿宋_GB2312" w:hAnsi="仿宋_GB2312" w:eastAsia="仿宋_GB2312" w:cs="仿宋_GB2312"/>
          <w:sz w:val="32"/>
          <w:szCs w:val="32"/>
        </w:rPr>
        <w:t xml:space="preserve"> 填报专业要求。学院实行专业组志愿，考生在填报我院志愿时，可选择一个专业组中的1—6个专业，并确定是否选择专业服从调剂。</w:t>
      </w:r>
    </w:p>
    <w:p w14:paraId="5F550D98">
      <w:pPr>
        <w:spacing w:line="560" w:lineRule="exact"/>
        <w:ind w:firstLine="643" w:firstLineChars="200"/>
        <w:rPr>
          <w:rFonts w:hint="eastAsia" w:ascii="仿宋_GB2312" w:hAnsi="仿宋_GB2312" w:eastAsia="仿宋_GB2312" w:cs="仿宋_GB2312"/>
          <w:sz w:val="32"/>
          <w:szCs w:val="32"/>
        </w:rPr>
      </w:pPr>
      <w:r>
        <w:rPr>
          <w:rFonts w:hint="eastAsia" w:ascii="楷体_GB2312" w:hAnsi="楷体_GB2312" w:eastAsia="楷体_GB2312" w:cs="楷体_GB2312"/>
          <w:b/>
          <w:sz w:val="32"/>
          <w:szCs w:val="32"/>
        </w:rPr>
        <w:t>第十一条</w:t>
      </w:r>
      <w:r>
        <w:rPr>
          <w:rFonts w:hint="eastAsia" w:ascii="仿宋_GB2312" w:hAnsi="仿宋_GB2312" w:eastAsia="仿宋_GB2312" w:cs="仿宋_GB2312"/>
          <w:sz w:val="32"/>
          <w:szCs w:val="32"/>
        </w:rPr>
        <w:t xml:space="preserve"> 社会人员身份认定。退役军人、农民工、下岗失业人员、新型职业农民分别由户籍所在县（市、区）退役军人事务部门、人力资源社会保障部门及农业农村部门进行认定；企业在岗人员由相关企业提供在岗证明材料。相关证明材料由考生在规定时间内提供给我院审核，不能按要求提供证明材料的考生只能以普通高中往届生或同等学力人员身份报考，提供虚假证明材料的将依据教育部相关规定取消高考报名资格，已录取的取消录取资格。</w:t>
      </w:r>
    </w:p>
    <w:p w14:paraId="211F8B1B">
      <w:pPr>
        <w:spacing w:line="560" w:lineRule="exact"/>
        <w:ind w:firstLine="643" w:firstLineChars="200"/>
        <w:rPr>
          <w:rFonts w:hint="eastAsia" w:ascii="仿宋_GB2312" w:hAnsi="仿宋_GB2312" w:eastAsia="仿宋_GB2312" w:cs="仿宋_GB2312"/>
          <w:sz w:val="32"/>
          <w:szCs w:val="32"/>
        </w:rPr>
      </w:pPr>
      <w:r>
        <w:rPr>
          <w:rFonts w:hint="eastAsia" w:ascii="仿宋_GB2312" w:hAnsi="仿宋_GB2312" w:eastAsia="仿宋_GB2312" w:cs="仿宋_GB2312"/>
          <w:b/>
          <w:bCs/>
          <w:sz w:val="32"/>
          <w:szCs w:val="32"/>
        </w:rPr>
        <w:t>1.社会人员考生资格证明材料。</w:t>
      </w:r>
      <w:r>
        <w:rPr>
          <w:rFonts w:hint="eastAsia" w:ascii="仿宋_GB2312" w:hAnsi="仿宋_GB2312" w:eastAsia="仿宋_GB2312" w:cs="仿宋_GB2312"/>
          <w:sz w:val="32"/>
          <w:szCs w:val="32"/>
        </w:rPr>
        <w:t>所有社会人员考生均须提供本人身份证复印件及《湖南省2025年高职单招报名身份界定表》，同时分别提供以下材料：退役军人提供退出现役证（转业证）；农民工提供职工社保缴费记录、劳动用工合同、劳动用工备案信息、用工单位工资发放记录等4项材料中的一项以上；下岗失业人员提供就业创业证（就业失业登记证）；新型职业农民提供新型职业农民证书；企业在岗人员须同时提供企业在岗证明、一年以上工资发放流水、一年以上社保缴纳记录。</w:t>
      </w:r>
    </w:p>
    <w:p w14:paraId="6B08A9F6">
      <w:pPr>
        <w:spacing w:line="560" w:lineRule="exact"/>
        <w:ind w:firstLine="643" w:firstLineChars="200"/>
        <w:rPr>
          <w:rFonts w:hint="eastAsia" w:ascii="仿宋_GB2312" w:hAnsi="仿宋_GB2312" w:eastAsia="仿宋_GB2312" w:cs="仿宋_GB2312"/>
          <w:sz w:val="32"/>
          <w:szCs w:val="32"/>
        </w:rPr>
      </w:pPr>
      <w:r>
        <w:rPr>
          <w:rFonts w:hint="eastAsia" w:ascii="仿宋_GB2312" w:hAnsi="仿宋_GB2312" w:eastAsia="仿宋_GB2312" w:cs="仿宋_GB2312"/>
          <w:b/>
          <w:bCs/>
          <w:sz w:val="32"/>
          <w:szCs w:val="32"/>
        </w:rPr>
        <w:t>2.材料提交时间及方式。</w:t>
      </w:r>
      <w:r>
        <w:rPr>
          <w:rFonts w:hint="eastAsia" w:ascii="仿宋_GB2312" w:hAnsi="仿宋_GB2312" w:eastAsia="仿宋_GB2312" w:cs="仿宋_GB2312"/>
          <w:sz w:val="32"/>
          <w:szCs w:val="32"/>
        </w:rPr>
        <w:t>考生须在2025年2月22日8:00前将符合上述要求的证明材料，通过送达或邮寄的方式交由我院招生就业处审核，邮寄地址：长沙市湘江新区雷锋大道413号湖南商务职业技术学院招生就业处，邮编410205，收件人：陈慧军（具体联系方式：0731-88115666/88115777）。</w:t>
      </w:r>
    </w:p>
    <w:p w14:paraId="33107008">
      <w:pPr>
        <w:spacing w:before="156" w:beforeLines="50" w:after="156" w:afterLines="50" w:line="540" w:lineRule="exact"/>
        <w:jc w:val="center"/>
        <w:rPr>
          <w:rFonts w:hint="eastAsia" w:ascii="黑体" w:hAnsi="黑体" w:eastAsia="黑体" w:cs="黑体"/>
          <w:sz w:val="32"/>
          <w:szCs w:val="32"/>
        </w:rPr>
      </w:pPr>
      <w:r>
        <w:rPr>
          <w:rFonts w:hint="eastAsia" w:ascii="黑体" w:hAnsi="黑体" w:eastAsia="黑体" w:cs="黑体"/>
          <w:sz w:val="32"/>
          <w:szCs w:val="32"/>
        </w:rPr>
        <w:t>第四章  单招计划及专业</w:t>
      </w:r>
    </w:p>
    <w:p w14:paraId="6ABA400E">
      <w:pPr>
        <w:spacing w:line="560" w:lineRule="exact"/>
        <w:ind w:firstLine="643" w:firstLineChars="200"/>
        <w:rPr>
          <w:rFonts w:hint="eastAsia" w:ascii="仿宋_GB2312" w:hAnsi="仿宋_GB2312" w:eastAsia="仿宋_GB2312" w:cs="仿宋_GB2312"/>
          <w:sz w:val="32"/>
          <w:szCs w:val="32"/>
        </w:rPr>
      </w:pPr>
      <w:r>
        <w:rPr>
          <w:rFonts w:hint="eastAsia" w:ascii="楷体_GB2312" w:hAnsi="楷体_GB2312" w:eastAsia="楷体_GB2312" w:cs="楷体_GB2312"/>
          <w:b/>
          <w:sz w:val="32"/>
          <w:szCs w:val="32"/>
        </w:rPr>
        <w:t>第十二条</w:t>
      </w:r>
      <w:r>
        <w:rPr>
          <w:rFonts w:hint="eastAsia" w:ascii="仿宋_GB2312" w:hAnsi="仿宋_GB2312" w:eastAsia="仿宋_GB2312" w:cs="仿宋_GB2312"/>
          <w:sz w:val="32"/>
          <w:szCs w:val="32"/>
        </w:rPr>
        <w:t xml:space="preserve"> 我院2025年单招总计划数为2573人，其中包含单列计划的退役军人10人、其他社会人员20人、艺术特长生8</w:t>
      </w:r>
      <w:bookmarkStart w:id="3" w:name="_GoBack"/>
      <w:bookmarkEnd w:id="3"/>
      <w:r>
        <w:rPr>
          <w:rFonts w:hint="eastAsia" w:ascii="仿宋_GB2312" w:hAnsi="仿宋_GB2312" w:eastAsia="仿宋_GB2312" w:cs="仿宋_GB2312"/>
          <w:sz w:val="32"/>
          <w:szCs w:val="32"/>
        </w:rPr>
        <w:t>人、体育特长生14人，</w:t>
      </w:r>
      <w:r>
        <w:rPr>
          <w:rFonts w:hint="eastAsia" w:ascii="仿宋_GB2312" w:hAnsi="仿宋_GB2312" w:eastAsia="仿宋_GB2312" w:cs="仿宋_GB2312"/>
          <w:color w:val="FF0000"/>
          <w:sz w:val="32"/>
          <w:szCs w:val="32"/>
        </w:rPr>
        <w:t>学院2025年单独招生专业及分专业招生计划以省考试院公布为准，</w:t>
      </w:r>
      <w:r>
        <w:rPr>
          <w:rFonts w:hint="eastAsia" w:ascii="仿宋_GB2312" w:hAnsi="仿宋_GB2312" w:eastAsia="仿宋_GB2312" w:cs="仿宋_GB2312"/>
          <w:sz w:val="32"/>
          <w:szCs w:val="32"/>
        </w:rPr>
        <w:t>各专业最终学费标准以2025</w:t>
      </w:r>
      <w:r>
        <w:rPr>
          <w:rFonts w:ascii="仿宋_GB2312" w:hAnsi="仿宋_GB2312" w:eastAsia="仿宋_GB2312" w:cs="仿宋_GB2312"/>
          <w:sz w:val="32"/>
          <w:szCs w:val="32"/>
        </w:rPr>
        <w:t>年</w:t>
      </w:r>
      <w:r>
        <w:rPr>
          <w:rFonts w:hint="eastAsia" w:ascii="仿宋_GB2312" w:hAnsi="仿宋_GB2312" w:eastAsia="仿宋_GB2312" w:cs="仿宋_GB2312"/>
          <w:sz w:val="32"/>
          <w:szCs w:val="32"/>
        </w:rPr>
        <w:t>省物价主管部门审核为准。</w:t>
      </w:r>
    </w:p>
    <w:tbl>
      <w:tblPr>
        <w:tblStyle w:val="11"/>
        <w:tblW w:w="9155" w:type="dxa"/>
        <w:jc w:val="center"/>
        <w:tblLayout w:type="fixed"/>
        <w:tblCellMar>
          <w:top w:w="0" w:type="dxa"/>
          <w:left w:w="108" w:type="dxa"/>
          <w:bottom w:w="0" w:type="dxa"/>
          <w:right w:w="108" w:type="dxa"/>
        </w:tblCellMar>
      </w:tblPr>
      <w:tblGrid>
        <w:gridCol w:w="1442"/>
        <w:gridCol w:w="2752"/>
        <w:gridCol w:w="3260"/>
        <w:gridCol w:w="1701"/>
      </w:tblGrid>
      <w:tr w14:paraId="642EB577">
        <w:tblPrEx>
          <w:tblCellMar>
            <w:top w:w="0" w:type="dxa"/>
            <w:left w:w="108" w:type="dxa"/>
            <w:bottom w:w="0" w:type="dxa"/>
            <w:right w:w="108" w:type="dxa"/>
          </w:tblCellMar>
        </w:tblPrEx>
        <w:trPr>
          <w:trHeight w:val="1147" w:hRule="exact"/>
          <w:jc w:val="center"/>
        </w:trPr>
        <w:tc>
          <w:tcPr>
            <w:tcW w:w="1442" w:type="dxa"/>
            <w:tcBorders>
              <w:top w:val="single" w:color="auto" w:sz="4" w:space="0"/>
              <w:left w:val="single" w:color="auto" w:sz="4" w:space="0"/>
              <w:bottom w:val="single" w:color="auto" w:sz="4" w:space="0"/>
              <w:right w:val="single" w:color="auto" w:sz="4" w:space="0"/>
            </w:tcBorders>
            <w:noWrap/>
            <w:vAlign w:val="center"/>
          </w:tcPr>
          <w:p w14:paraId="06384F10">
            <w:pPr>
              <w:widowControl/>
              <w:spacing w:line="360" w:lineRule="exact"/>
              <w:jc w:val="center"/>
              <w:textAlignment w:val="center"/>
              <w:rPr>
                <w:rFonts w:hint="eastAsia" w:ascii="仿宋_GB2312" w:hAnsi="仿宋_GB2312" w:eastAsia="仿宋_GB2312" w:cs="仿宋_GB2312"/>
                <w:b/>
                <w:bCs/>
                <w:kern w:val="0"/>
                <w:sz w:val="30"/>
                <w:szCs w:val="30"/>
              </w:rPr>
            </w:pPr>
            <w:bookmarkStart w:id="2" w:name="_Hlk188610318"/>
            <w:r>
              <w:rPr>
                <w:rFonts w:hint="eastAsia" w:ascii="仿宋_GB2312" w:hAnsi="仿宋_GB2312" w:eastAsia="仿宋_GB2312" w:cs="仿宋_GB2312"/>
                <w:b/>
                <w:bCs/>
                <w:kern w:val="0"/>
                <w:sz w:val="30"/>
                <w:szCs w:val="30"/>
                <w:lang w:bidi="ar"/>
              </w:rPr>
              <w:t>专业组</w:t>
            </w:r>
          </w:p>
        </w:tc>
        <w:tc>
          <w:tcPr>
            <w:tcW w:w="2752" w:type="dxa"/>
            <w:tcBorders>
              <w:top w:val="single" w:color="auto" w:sz="4" w:space="0"/>
              <w:left w:val="nil"/>
              <w:bottom w:val="single" w:color="auto" w:sz="4" w:space="0"/>
              <w:right w:val="single" w:color="auto" w:sz="4" w:space="0"/>
            </w:tcBorders>
            <w:noWrap/>
            <w:vAlign w:val="center"/>
          </w:tcPr>
          <w:p w14:paraId="393DDF3F">
            <w:pPr>
              <w:widowControl/>
              <w:spacing w:line="360" w:lineRule="exact"/>
              <w:jc w:val="center"/>
              <w:textAlignment w:val="center"/>
              <w:rPr>
                <w:rFonts w:hint="eastAsia" w:ascii="仿宋_GB2312" w:hAnsi="仿宋_GB2312" w:eastAsia="仿宋_GB2312" w:cs="仿宋_GB2312"/>
                <w:b/>
                <w:bCs/>
                <w:kern w:val="0"/>
                <w:sz w:val="30"/>
                <w:szCs w:val="30"/>
                <w:lang w:bidi="ar"/>
              </w:rPr>
            </w:pPr>
            <w:r>
              <w:rPr>
                <w:rFonts w:hint="eastAsia" w:ascii="仿宋_GB2312" w:hAnsi="仿宋_GB2312" w:eastAsia="仿宋_GB2312" w:cs="仿宋_GB2312"/>
                <w:b/>
                <w:bCs/>
                <w:kern w:val="0"/>
                <w:sz w:val="30"/>
                <w:szCs w:val="30"/>
                <w:lang w:bidi="ar"/>
              </w:rPr>
              <w:t>二级学院</w:t>
            </w:r>
          </w:p>
        </w:tc>
        <w:tc>
          <w:tcPr>
            <w:tcW w:w="3260" w:type="dxa"/>
            <w:tcBorders>
              <w:top w:val="single" w:color="auto" w:sz="4" w:space="0"/>
              <w:left w:val="nil"/>
              <w:bottom w:val="single" w:color="auto" w:sz="4" w:space="0"/>
              <w:right w:val="single" w:color="auto" w:sz="4" w:space="0"/>
            </w:tcBorders>
            <w:noWrap/>
            <w:vAlign w:val="center"/>
          </w:tcPr>
          <w:p w14:paraId="15AA43D7">
            <w:pPr>
              <w:widowControl/>
              <w:spacing w:line="360" w:lineRule="exact"/>
              <w:jc w:val="center"/>
              <w:textAlignment w:val="center"/>
              <w:rPr>
                <w:rFonts w:hint="eastAsia" w:ascii="仿宋_GB2312" w:hAnsi="仿宋_GB2312" w:eastAsia="仿宋_GB2312" w:cs="仿宋_GB2312"/>
                <w:b/>
                <w:bCs/>
                <w:kern w:val="0"/>
                <w:sz w:val="30"/>
                <w:szCs w:val="30"/>
              </w:rPr>
            </w:pPr>
            <w:r>
              <w:rPr>
                <w:rFonts w:hint="eastAsia" w:ascii="仿宋_GB2312" w:hAnsi="仿宋_GB2312" w:eastAsia="仿宋_GB2312" w:cs="仿宋_GB2312"/>
                <w:b/>
                <w:bCs/>
                <w:kern w:val="0"/>
                <w:sz w:val="30"/>
                <w:szCs w:val="30"/>
                <w:lang w:bidi="ar"/>
              </w:rPr>
              <w:t>专业名称</w:t>
            </w:r>
          </w:p>
        </w:tc>
        <w:tc>
          <w:tcPr>
            <w:tcW w:w="1701" w:type="dxa"/>
            <w:tcBorders>
              <w:top w:val="single" w:color="auto" w:sz="4" w:space="0"/>
              <w:left w:val="nil"/>
              <w:bottom w:val="single" w:color="auto" w:sz="4" w:space="0"/>
              <w:right w:val="single" w:color="auto" w:sz="4" w:space="0"/>
            </w:tcBorders>
            <w:noWrap/>
            <w:vAlign w:val="center"/>
          </w:tcPr>
          <w:p w14:paraId="3FF93B50">
            <w:pPr>
              <w:widowControl/>
              <w:spacing w:line="360" w:lineRule="exact"/>
              <w:jc w:val="center"/>
              <w:textAlignment w:val="center"/>
              <w:rPr>
                <w:rFonts w:hint="eastAsia" w:ascii="仿宋_GB2312" w:hAnsi="仿宋_GB2312" w:eastAsia="仿宋_GB2312" w:cs="仿宋_GB2312"/>
                <w:b/>
                <w:bCs/>
                <w:sz w:val="30"/>
                <w:szCs w:val="30"/>
              </w:rPr>
            </w:pPr>
            <w:r>
              <w:rPr>
                <w:rFonts w:hint="eastAsia" w:ascii="仿宋_GB2312" w:hAnsi="仿宋_GB2312" w:eastAsia="仿宋_GB2312" w:cs="仿宋_GB2312"/>
                <w:b/>
                <w:bCs/>
                <w:sz w:val="30"/>
                <w:szCs w:val="30"/>
              </w:rPr>
              <w:t>学费</w:t>
            </w:r>
          </w:p>
          <w:p w14:paraId="57654C58">
            <w:pPr>
              <w:widowControl/>
              <w:spacing w:line="360" w:lineRule="exact"/>
              <w:jc w:val="center"/>
              <w:textAlignment w:val="center"/>
              <w:rPr>
                <w:rFonts w:hint="eastAsia" w:ascii="仿宋_GB2312" w:hAnsi="仿宋_GB2312" w:eastAsia="仿宋_GB2312" w:cs="仿宋_GB2312"/>
                <w:b/>
                <w:bCs/>
                <w:kern w:val="0"/>
                <w:sz w:val="30"/>
                <w:szCs w:val="30"/>
              </w:rPr>
            </w:pPr>
            <w:r>
              <w:rPr>
                <w:rFonts w:hint="eastAsia" w:ascii="仿宋_GB2312" w:hAnsi="仿宋_GB2312" w:eastAsia="仿宋_GB2312" w:cs="仿宋_GB2312"/>
                <w:b/>
                <w:bCs/>
                <w:kern w:val="0"/>
                <w:sz w:val="30"/>
                <w:szCs w:val="30"/>
                <w:lang w:bidi="ar"/>
              </w:rPr>
              <w:t>（元/年）</w:t>
            </w:r>
          </w:p>
        </w:tc>
      </w:tr>
      <w:tr w14:paraId="180AECDF">
        <w:tblPrEx>
          <w:tblCellMar>
            <w:top w:w="0" w:type="dxa"/>
            <w:left w:w="108" w:type="dxa"/>
            <w:bottom w:w="0" w:type="dxa"/>
            <w:right w:w="108" w:type="dxa"/>
          </w:tblCellMar>
        </w:tblPrEx>
        <w:trPr>
          <w:trHeight w:val="424" w:hRule="exact"/>
          <w:jc w:val="center"/>
        </w:trPr>
        <w:tc>
          <w:tcPr>
            <w:tcW w:w="1442" w:type="dxa"/>
            <w:vMerge w:val="restart"/>
            <w:tcBorders>
              <w:top w:val="nil"/>
              <w:left w:val="single" w:color="auto" w:sz="4" w:space="0"/>
              <w:right w:val="single" w:color="auto" w:sz="4" w:space="0"/>
            </w:tcBorders>
            <w:noWrap/>
            <w:vAlign w:val="center"/>
          </w:tcPr>
          <w:p w14:paraId="6EF48CD7">
            <w:pPr>
              <w:widowControl/>
              <w:spacing w:line="360" w:lineRule="exact"/>
              <w:jc w:val="center"/>
              <w:textAlignment w:val="center"/>
              <w:rPr>
                <w:rFonts w:hint="eastAsia" w:ascii="仿宋_GB2312" w:hAnsi="仿宋_GB2312" w:eastAsia="仿宋_GB2312" w:cs="仿宋_GB2312"/>
                <w:kern w:val="0"/>
                <w:sz w:val="30"/>
                <w:szCs w:val="30"/>
              </w:rPr>
            </w:pPr>
            <w:r>
              <w:rPr>
                <w:rFonts w:hint="eastAsia" w:ascii="仿宋_GB2312" w:hAnsi="仿宋_GB2312" w:eastAsia="仿宋_GB2312" w:cs="仿宋_GB2312"/>
                <w:kern w:val="0"/>
                <w:sz w:val="30"/>
                <w:szCs w:val="30"/>
                <w:lang w:bidi="ar"/>
              </w:rPr>
              <w:t>专业组一</w:t>
            </w:r>
          </w:p>
        </w:tc>
        <w:tc>
          <w:tcPr>
            <w:tcW w:w="2752" w:type="dxa"/>
            <w:vMerge w:val="restart"/>
            <w:tcBorders>
              <w:top w:val="nil"/>
              <w:left w:val="nil"/>
              <w:right w:val="single" w:color="auto" w:sz="4" w:space="0"/>
            </w:tcBorders>
            <w:noWrap/>
            <w:vAlign w:val="center"/>
          </w:tcPr>
          <w:p w14:paraId="36CC028D">
            <w:pPr>
              <w:widowControl/>
              <w:spacing w:line="360" w:lineRule="exact"/>
              <w:jc w:val="center"/>
              <w:textAlignment w:val="center"/>
              <w:rPr>
                <w:rFonts w:hint="eastAsia" w:ascii="仿宋_GB2312" w:hAnsi="仿宋_GB2312" w:eastAsia="仿宋_GB2312" w:cs="仿宋_GB2312"/>
                <w:color w:val="000000"/>
                <w:kern w:val="0"/>
                <w:sz w:val="30"/>
                <w:szCs w:val="30"/>
              </w:rPr>
            </w:pPr>
            <w:r>
              <w:rPr>
                <w:rFonts w:hint="eastAsia" w:ascii="仿宋_GB2312" w:hAnsi="仿宋_GB2312" w:eastAsia="仿宋_GB2312" w:cs="仿宋_GB2312"/>
                <w:color w:val="000000"/>
                <w:kern w:val="0"/>
                <w:sz w:val="30"/>
                <w:szCs w:val="30"/>
              </w:rPr>
              <w:t>经济贸</w:t>
            </w:r>
            <w:r>
              <w:rPr>
                <w:rFonts w:hint="eastAsia" w:ascii="仿宋" w:hAnsi="仿宋" w:eastAsia="仿宋" w:cs="微软雅黑"/>
                <w:color w:val="000000"/>
                <w:kern w:val="0"/>
                <w:sz w:val="30"/>
                <w:szCs w:val="30"/>
              </w:rPr>
              <w:t>易</w:t>
            </w:r>
            <w:r>
              <w:rPr>
                <w:rFonts w:hint="eastAsia" w:ascii="仿宋_GB2312" w:hAnsi="仿宋_GB2312" w:eastAsia="仿宋_GB2312" w:cs="仿宋_GB2312"/>
                <w:color w:val="000000"/>
                <w:kern w:val="0"/>
                <w:sz w:val="30"/>
                <w:szCs w:val="30"/>
              </w:rPr>
              <w:t>学院</w:t>
            </w:r>
          </w:p>
        </w:tc>
        <w:tc>
          <w:tcPr>
            <w:tcW w:w="3260" w:type="dxa"/>
            <w:tcBorders>
              <w:top w:val="nil"/>
              <w:left w:val="nil"/>
              <w:bottom w:val="single" w:color="auto" w:sz="4" w:space="0"/>
              <w:right w:val="single" w:color="auto" w:sz="4" w:space="0"/>
            </w:tcBorders>
            <w:noWrap/>
            <w:vAlign w:val="center"/>
          </w:tcPr>
          <w:p w14:paraId="4B8AAB2C">
            <w:pPr>
              <w:widowControl/>
              <w:spacing w:line="360" w:lineRule="exact"/>
              <w:jc w:val="center"/>
              <w:textAlignment w:val="center"/>
              <w:rPr>
                <w:rFonts w:hint="eastAsia" w:ascii="仿宋_GB2312" w:hAnsi="仿宋_GB2312" w:eastAsia="仿宋_GB2312" w:cs="仿宋_GB2312"/>
                <w:color w:val="000000"/>
                <w:kern w:val="0"/>
                <w:sz w:val="30"/>
                <w:szCs w:val="30"/>
              </w:rPr>
            </w:pPr>
            <w:r>
              <w:rPr>
                <w:rFonts w:hint="eastAsia" w:ascii="仿宋_GB2312" w:hAnsi="仿宋_GB2312" w:eastAsia="仿宋_GB2312" w:cs="仿宋_GB2312"/>
                <w:color w:val="000000"/>
                <w:kern w:val="0"/>
                <w:sz w:val="30"/>
                <w:szCs w:val="30"/>
              </w:rPr>
              <w:t>市场营销</w:t>
            </w:r>
          </w:p>
        </w:tc>
        <w:tc>
          <w:tcPr>
            <w:tcW w:w="1701" w:type="dxa"/>
            <w:tcBorders>
              <w:top w:val="nil"/>
              <w:left w:val="nil"/>
              <w:bottom w:val="single" w:color="auto" w:sz="4" w:space="0"/>
              <w:right w:val="single" w:color="auto" w:sz="4" w:space="0"/>
            </w:tcBorders>
            <w:noWrap/>
            <w:vAlign w:val="center"/>
          </w:tcPr>
          <w:p w14:paraId="21D5898F">
            <w:pPr>
              <w:widowControl/>
              <w:spacing w:line="360" w:lineRule="exact"/>
              <w:jc w:val="center"/>
              <w:textAlignment w:val="center"/>
              <w:rPr>
                <w:rFonts w:hint="eastAsia" w:ascii="仿宋_GB2312" w:hAnsi="仿宋_GB2312" w:eastAsia="仿宋_GB2312" w:cs="仿宋_GB2312"/>
                <w:kern w:val="0"/>
                <w:sz w:val="30"/>
                <w:szCs w:val="30"/>
              </w:rPr>
            </w:pPr>
            <w:r>
              <w:rPr>
                <w:rFonts w:hint="eastAsia" w:ascii="仿宋_GB2312" w:hAnsi="仿宋_GB2312" w:eastAsia="仿宋_GB2312" w:cs="仿宋_GB2312"/>
                <w:kern w:val="0"/>
                <w:sz w:val="30"/>
                <w:szCs w:val="30"/>
              </w:rPr>
              <w:t>3850</w:t>
            </w:r>
          </w:p>
        </w:tc>
      </w:tr>
      <w:tr w14:paraId="2C6237E9">
        <w:tblPrEx>
          <w:tblCellMar>
            <w:top w:w="0" w:type="dxa"/>
            <w:left w:w="108" w:type="dxa"/>
            <w:bottom w:w="0" w:type="dxa"/>
            <w:right w:w="108" w:type="dxa"/>
          </w:tblCellMar>
        </w:tblPrEx>
        <w:trPr>
          <w:trHeight w:val="445" w:hRule="exact"/>
          <w:jc w:val="center"/>
        </w:trPr>
        <w:tc>
          <w:tcPr>
            <w:tcW w:w="1442" w:type="dxa"/>
            <w:vMerge w:val="continue"/>
            <w:tcBorders>
              <w:left w:val="single" w:color="auto" w:sz="4" w:space="0"/>
              <w:right w:val="single" w:color="auto" w:sz="4" w:space="0"/>
            </w:tcBorders>
            <w:vAlign w:val="center"/>
          </w:tcPr>
          <w:p w14:paraId="762DEA25">
            <w:pPr>
              <w:widowControl/>
              <w:spacing w:line="360" w:lineRule="exact"/>
              <w:ind w:firstLine="600" w:firstLineChars="200"/>
              <w:jc w:val="center"/>
              <w:rPr>
                <w:rFonts w:hint="eastAsia" w:ascii="仿宋_GB2312" w:hAnsi="仿宋_GB2312" w:eastAsia="仿宋_GB2312" w:cs="仿宋_GB2312"/>
                <w:kern w:val="0"/>
                <w:sz w:val="30"/>
                <w:szCs w:val="30"/>
              </w:rPr>
            </w:pPr>
          </w:p>
        </w:tc>
        <w:tc>
          <w:tcPr>
            <w:tcW w:w="2752" w:type="dxa"/>
            <w:vMerge w:val="continue"/>
            <w:tcBorders>
              <w:left w:val="nil"/>
              <w:right w:val="single" w:color="auto" w:sz="4" w:space="0"/>
            </w:tcBorders>
            <w:noWrap/>
            <w:vAlign w:val="center"/>
          </w:tcPr>
          <w:p w14:paraId="5A7C840D">
            <w:pPr>
              <w:widowControl/>
              <w:spacing w:line="360" w:lineRule="exact"/>
              <w:jc w:val="center"/>
              <w:textAlignment w:val="center"/>
              <w:rPr>
                <w:rFonts w:hint="eastAsia" w:ascii="仿宋_GB2312" w:hAnsi="仿宋_GB2312" w:eastAsia="仿宋_GB2312" w:cs="仿宋_GB2312"/>
                <w:color w:val="000000"/>
                <w:kern w:val="0"/>
                <w:sz w:val="30"/>
                <w:szCs w:val="30"/>
              </w:rPr>
            </w:pPr>
          </w:p>
        </w:tc>
        <w:tc>
          <w:tcPr>
            <w:tcW w:w="3260" w:type="dxa"/>
            <w:tcBorders>
              <w:top w:val="nil"/>
              <w:left w:val="nil"/>
              <w:bottom w:val="single" w:color="auto" w:sz="4" w:space="0"/>
              <w:right w:val="single" w:color="auto" w:sz="4" w:space="0"/>
            </w:tcBorders>
            <w:noWrap/>
            <w:vAlign w:val="center"/>
          </w:tcPr>
          <w:p w14:paraId="75E2D53D">
            <w:pPr>
              <w:widowControl/>
              <w:spacing w:line="360" w:lineRule="exact"/>
              <w:jc w:val="center"/>
              <w:textAlignment w:val="center"/>
              <w:rPr>
                <w:rFonts w:hint="eastAsia" w:ascii="仿宋_GB2312" w:hAnsi="仿宋_GB2312" w:eastAsia="仿宋_GB2312" w:cs="仿宋_GB2312"/>
                <w:color w:val="000000"/>
                <w:kern w:val="0"/>
                <w:sz w:val="30"/>
                <w:szCs w:val="30"/>
              </w:rPr>
            </w:pPr>
            <w:r>
              <w:rPr>
                <w:rFonts w:hint="eastAsia" w:ascii="仿宋_GB2312" w:hAnsi="仿宋_GB2312" w:eastAsia="仿宋_GB2312" w:cs="仿宋_GB2312"/>
                <w:color w:val="000000"/>
                <w:kern w:val="0"/>
                <w:sz w:val="30"/>
                <w:szCs w:val="30"/>
              </w:rPr>
              <w:t>连锁经营与管理</w:t>
            </w:r>
          </w:p>
        </w:tc>
        <w:tc>
          <w:tcPr>
            <w:tcW w:w="1701" w:type="dxa"/>
            <w:tcBorders>
              <w:top w:val="nil"/>
              <w:left w:val="nil"/>
              <w:bottom w:val="single" w:color="auto" w:sz="4" w:space="0"/>
              <w:right w:val="single" w:color="auto" w:sz="4" w:space="0"/>
            </w:tcBorders>
            <w:noWrap/>
            <w:vAlign w:val="center"/>
          </w:tcPr>
          <w:p w14:paraId="1A1B824B">
            <w:pPr>
              <w:widowControl/>
              <w:spacing w:line="360" w:lineRule="exact"/>
              <w:jc w:val="center"/>
              <w:textAlignment w:val="center"/>
              <w:rPr>
                <w:rFonts w:hint="eastAsia" w:ascii="仿宋_GB2312" w:hAnsi="仿宋_GB2312" w:eastAsia="仿宋_GB2312" w:cs="仿宋_GB2312"/>
                <w:sz w:val="30"/>
                <w:szCs w:val="30"/>
              </w:rPr>
            </w:pPr>
            <w:r>
              <w:rPr>
                <w:rFonts w:hint="eastAsia" w:ascii="仿宋_GB2312" w:hAnsi="仿宋_GB2312" w:eastAsia="仿宋_GB2312" w:cs="仿宋_GB2312"/>
                <w:sz w:val="30"/>
                <w:szCs w:val="30"/>
              </w:rPr>
              <w:t>3850</w:t>
            </w:r>
          </w:p>
        </w:tc>
      </w:tr>
      <w:tr w14:paraId="54A95DCF">
        <w:tblPrEx>
          <w:tblCellMar>
            <w:top w:w="0" w:type="dxa"/>
            <w:left w:w="108" w:type="dxa"/>
            <w:bottom w:w="0" w:type="dxa"/>
            <w:right w:w="108" w:type="dxa"/>
          </w:tblCellMar>
        </w:tblPrEx>
        <w:trPr>
          <w:trHeight w:val="424" w:hRule="exact"/>
          <w:jc w:val="center"/>
        </w:trPr>
        <w:tc>
          <w:tcPr>
            <w:tcW w:w="1442" w:type="dxa"/>
            <w:vMerge w:val="continue"/>
            <w:tcBorders>
              <w:left w:val="single" w:color="auto" w:sz="4" w:space="0"/>
              <w:right w:val="single" w:color="auto" w:sz="4" w:space="0"/>
            </w:tcBorders>
            <w:vAlign w:val="center"/>
          </w:tcPr>
          <w:p w14:paraId="4F07B61E">
            <w:pPr>
              <w:widowControl/>
              <w:spacing w:line="360" w:lineRule="exact"/>
              <w:ind w:firstLine="600" w:firstLineChars="200"/>
              <w:jc w:val="center"/>
              <w:rPr>
                <w:rFonts w:hint="eastAsia" w:ascii="仿宋_GB2312" w:hAnsi="仿宋_GB2312" w:eastAsia="仿宋_GB2312" w:cs="仿宋_GB2312"/>
                <w:kern w:val="0"/>
                <w:sz w:val="30"/>
                <w:szCs w:val="30"/>
              </w:rPr>
            </w:pPr>
          </w:p>
        </w:tc>
        <w:tc>
          <w:tcPr>
            <w:tcW w:w="2752" w:type="dxa"/>
            <w:vMerge w:val="continue"/>
            <w:tcBorders>
              <w:left w:val="nil"/>
              <w:right w:val="single" w:color="auto" w:sz="4" w:space="0"/>
            </w:tcBorders>
            <w:noWrap/>
            <w:vAlign w:val="center"/>
          </w:tcPr>
          <w:p w14:paraId="75E279E2">
            <w:pPr>
              <w:widowControl/>
              <w:spacing w:line="360" w:lineRule="exact"/>
              <w:jc w:val="center"/>
              <w:textAlignment w:val="center"/>
              <w:rPr>
                <w:rFonts w:hint="eastAsia" w:ascii="仿宋_GB2312" w:hAnsi="仿宋_GB2312" w:eastAsia="仿宋_GB2312" w:cs="仿宋_GB2312"/>
                <w:color w:val="000000"/>
                <w:kern w:val="0"/>
                <w:sz w:val="30"/>
                <w:szCs w:val="30"/>
              </w:rPr>
            </w:pPr>
          </w:p>
        </w:tc>
        <w:tc>
          <w:tcPr>
            <w:tcW w:w="3260" w:type="dxa"/>
            <w:tcBorders>
              <w:top w:val="nil"/>
              <w:left w:val="nil"/>
              <w:bottom w:val="single" w:color="auto" w:sz="4" w:space="0"/>
              <w:right w:val="single" w:color="auto" w:sz="4" w:space="0"/>
            </w:tcBorders>
            <w:noWrap/>
            <w:vAlign w:val="center"/>
          </w:tcPr>
          <w:p w14:paraId="0C6ABCE7">
            <w:pPr>
              <w:widowControl/>
              <w:spacing w:line="360" w:lineRule="exact"/>
              <w:jc w:val="center"/>
              <w:textAlignment w:val="center"/>
              <w:rPr>
                <w:rFonts w:hint="eastAsia" w:ascii="仿宋_GB2312" w:hAnsi="仿宋_GB2312" w:eastAsia="仿宋_GB2312" w:cs="仿宋_GB2312"/>
                <w:color w:val="000000"/>
                <w:kern w:val="0"/>
                <w:sz w:val="30"/>
                <w:szCs w:val="30"/>
              </w:rPr>
            </w:pPr>
            <w:r>
              <w:rPr>
                <w:rFonts w:hint="eastAsia" w:ascii="仿宋_GB2312" w:hAnsi="仿宋_GB2312" w:eastAsia="仿宋_GB2312" w:cs="仿宋_GB2312"/>
                <w:color w:val="000000"/>
                <w:kern w:val="0"/>
                <w:sz w:val="30"/>
                <w:szCs w:val="30"/>
              </w:rPr>
              <w:t>现代物流管理</w:t>
            </w:r>
          </w:p>
        </w:tc>
        <w:tc>
          <w:tcPr>
            <w:tcW w:w="1701" w:type="dxa"/>
            <w:tcBorders>
              <w:top w:val="nil"/>
              <w:left w:val="nil"/>
              <w:bottom w:val="single" w:color="auto" w:sz="4" w:space="0"/>
              <w:right w:val="single" w:color="auto" w:sz="4" w:space="0"/>
            </w:tcBorders>
            <w:noWrap/>
            <w:vAlign w:val="center"/>
          </w:tcPr>
          <w:p w14:paraId="75DDAFAC">
            <w:pPr>
              <w:widowControl/>
              <w:spacing w:line="360" w:lineRule="exact"/>
              <w:jc w:val="center"/>
              <w:textAlignment w:val="center"/>
              <w:rPr>
                <w:rFonts w:hint="eastAsia" w:ascii="仿宋_GB2312" w:hAnsi="仿宋_GB2312" w:eastAsia="仿宋_GB2312" w:cs="仿宋_GB2312"/>
                <w:sz w:val="30"/>
                <w:szCs w:val="30"/>
              </w:rPr>
            </w:pPr>
            <w:r>
              <w:rPr>
                <w:rFonts w:hint="eastAsia" w:ascii="仿宋_GB2312" w:hAnsi="仿宋_GB2312" w:eastAsia="仿宋_GB2312" w:cs="仿宋_GB2312"/>
                <w:sz w:val="30"/>
                <w:szCs w:val="30"/>
              </w:rPr>
              <w:t>3500</w:t>
            </w:r>
          </w:p>
        </w:tc>
      </w:tr>
      <w:tr w14:paraId="5E9317BF">
        <w:tblPrEx>
          <w:tblCellMar>
            <w:top w:w="0" w:type="dxa"/>
            <w:left w:w="108" w:type="dxa"/>
            <w:bottom w:w="0" w:type="dxa"/>
            <w:right w:w="108" w:type="dxa"/>
          </w:tblCellMar>
        </w:tblPrEx>
        <w:trPr>
          <w:trHeight w:val="414" w:hRule="exact"/>
          <w:jc w:val="center"/>
        </w:trPr>
        <w:tc>
          <w:tcPr>
            <w:tcW w:w="1442" w:type="dxa"/>
            <w:vMerge w:val="continue"/>
            <w:tcBorders>
              <w:left w:val="single" w:color="auto" w:sz="4" w:space="0"/>
              <w:right w:val="single" w:color="auto" w:sz="4" w:space="0"/>
            </w:tcBorders>
            <w:vAlign w:val="center"/>
          </w:tcPr>
          <w:p w14:paraId="00809FA7">
            <w:pPr>
              <w:widowControl/>
              <w:spacing w:line="360" w:lineRule="exact"/>
              <w:ind w:firstLine="600" w:firstLineChars="200"/>
              <w:jc w:val="center"/>
              <w:rPr>
                <w:rFonts w:hint="eastAsia" w:ascii="仿宋_GB2312" w:hAnsi="仿宋_GB2312" w:eastAsia="仿宋_GB2312" w:cs="仿宋_GB2312"/>
                <w:kern w:val="0"/>
                <w:sz w:val="30"/>
                <w:szCs w:val="30"/>
              </w:rPr>
            </w:pPr>
          </w:p>
        </w:tc>
        <w:tc>
          <w:tcPr>
            <w:tcW w:w="2752" w:type="dxa"/>
            <w:vMerge w:val="continue"/>
            <w:tcBorders>
              <w:left w:val="nil"/>
              <w:right w:val="single" w:color="auto" w:sz="4" w:space="0"/>
            </w:tcBorders>
            <w:noWrap/>
            <w:vAlign w:val="center"/>
          </w:tcPr>
          <w:p w14:paraId="617967CA">
            <w:pPr>
              <w:widowControl/>
              <w:spacing w:line="360" w:lineRule="exact"/>
              <w:jc w:val="center"/>
              <w:textAlignment w:val="center"/>
              <w:rPr>
                <w:rFonts w:hint="eastAsia" w:ascii="仿宋_GB2312" w:hAnsi="仿宋_GB2312" w:eastAsia="仿宋_GB2312" w:cs="仿宋_GB2312"/>
                <w:color w:val="000000"/>
                <w:kern w:val="0"/>
                <w:sz w:val="30"/>
                <w:szCs w:val="30"/>
              </w:rPr>
            </w:pPr>
          </w:p>
        </w:tc>
        <w:tc>
          <w:tcPr>
            <w:tcW w:w="3260" w:type="dxa"/>
            <w:tcBorders>
              <w:top w:val="nil"/>
              <w:left w:val="nil"/>
              <w:bottom w:val="single" w:color="auto" w:sz="4" w:space="0"/>
              <w:right w:val="single" w:color="auto" w:sz="4" w:space="0"/>
            </w:tcBorders>
            <w:noWrap/>
            <w:vAlign w:val="center"/>
          </w:tcPr>
          <w:p w14:paraId="098F8AFA">
            <w:pPr>
              <w:widowControl/>
              <w:spacing w:line="360" w:lineRule="exact"/>
              <w:jc w:val="center"/>
              <w:textAlignment w:val="center"/>
              <w:rPr>
                <w:rFonts w:hint="eastAsia" w:ascii="仿宋_GB2312" w:hAnsi="仿宋_GB2312" w:eastAsia="仿宋_GB2312" w:cs="仿宋_GB2312"/>
                <w:color w:val="000000"/>
                <w:kern w:val="0"/>
                <w:sz w:val="30"/>
                <w:szCs w:val="30"/>
              </w:rPr>
            </w:pPr>
            <w:r>
              <w:rPr>
                <w:rFonts w:hint="eastAsia" w:ascii="仿宋_GB2312" w:hAnsi="仿宋_GB2312" w:eastAsia="仿宋_GB2312" w:cs="仿宋_GB2312"/>
                <w:color w:val="000000"/>
                <w:kern w:val="0"/>
                <w:sz w:val="30"/>
                <w:szCs w:val="30"/>
              </w:rPr>
              <w:t>商务管理</w:t>
            </w:r>
          </w:p>
        </w:tc>
        <w:tc>
          <w:tcPr>
            <w:tcW w:w="1701" w:type="dxa"/>
            <w:tcBorders>
              <w:top w:val="nil"/>
              <w:left w:val="nil"/>
              <w:bottom w:val="single" w:color="auto" w:sz="4" w:space="0"/>
              <w:right w:val="single" w:color="auto" w:sz="4" w:space="0"/>
            </w:tcBorders>
            <w:noWrap/>
            <w:vAlign w:val="center"/>
          </w:tcPr>
          <w:p w14:paraId="62D3488C">
            <w:pPr>
              <w:widowControl/>
              <w:spacing w:line="360" w:lineRule="exact"/>
              <w:jc w:val="center"/>
              <w:textAlignment w:val="center"/>
              <w:rPr>
                <w:rFonts w:hint="eastAsia" w:ascii="仿宋_GB2312" w:hAnsi="仿宋_GB2312" w:eastAsia="仿宋_GB2312" w:cs="仿宋_GB2312"/>
                <w:sz w:val="30"/>
                <w:szCs w:val="30"/>
              </w:rPr>
            </w:pPr>
            <w:r>
              <w:rPr>
                <w:rFonts w:hint="eastAsia" w:ascii="仿宋_GB2312" w:hAnsi="仿宋_GB2312" w:eastAsia="仿宋_GB2312" w:cs="仿宋_GB2312"/>
                <w:sz w:val="30"/>
                <w:szCs w:val="30"/>
              </w:rPr>
              <w:t>3500</w:t>
            </w:r>
          </w:p>
        </w:tc>
      </w:tr>
      <w:tr w14:paraId="29E1B3F2">
        <w:tblPrEx>
          <w:tblCellMar>
            <w:top w:w="0" w:type="dxa"/>
            <w:left w:w="108" w:type="dxa"/>
            <w:bottom w:w="0" w:type="dxa"/>
            <w:right w:w="108" w:type="dxa"/>
          </w:tblCellMar>
        </w:tblPrEx>
        <w:trPr>
          <w:trHeight w:val="430" w:hRule="exact"/>
          <w:jc w:val="center"/>
        </w:trPr>
        <w:tc>
          <w:tcPr>
            <w:tcW w:w="1442" w:type="dxa"/>
            <w:vMerge w:val="continue"/>
            <w:tcBorders>
              <w:left w:val="single" w:color="auto" w:sz="4" w:space="0"/>
              <w:right w:val="single" w:color="auto" w:sz="4" w:space="0"/>
            </w:tcBorders>
            <w:vAlign w:val="center"/>
          </w:tcPr>
          <w:p w14:paraId="4C02E203">
            <w:pPr>
              <w:widowControl/>
              <w:spacing w:line="360" w:lineRule="exact"/>
              <w:ind w:firstLine="600" w:firstLineChars="200"/>
              <w:jc w:val="center"/>
              <w:rPr>
                <w:rFonts w:hint="eastAsia" w:ascii="仿宋_GB2312" w:hAnsi="仿宋_GB2312" w:eastAsia="仿宋_GB2312" w:cs="仿宋_GB2312"/>
                <w:kern w:val="0"/>
                <w:sz w:val="30"/>
                <w:szCs w:val="30"/>
              </w:rPr>
            </w:pPr>
          </w:p>
        </w:tc>
        <w:tc>
          <w:tcPr>
            <w:tcW w:w="2752" w:type="dxa"/>
            <w:vMerge w:val="continue"/>
            <w:tcBorders>
              <w:left w:val="nil"/>
              <w:bottom w:val="single" w:color="auto" w:sz="4" w:space="0"/>
              <w:right w:val="single" w:color="auto" w:sz="4" w:space="0"/>
            </w:tcBorders>
            <w:noWrap/>
            <w:vAlign w:val="center"/>
          </w:tcPr>
          <w:p w14:paraId="25A56EF3">
            <w:pPr>
              <w:widowControl/>
              <w:spacing w:line="360" w:lineRule="exact"/>
              <w:jc w:val="center"/>
              <w:textAlignment w:val="center"/>
              <w:rPr>
                <w:rFonts w:hint="eastAsia" w:ascii="仿宋_GB2312" w:hAnsi="仿宋_GB2312" w:eastAsia="仿宋_GB2312" w:cs="仿宋_GB2312"/>
                <w:color w:val="000000"/>
                <w:kern w:val="0"/>
                <w:sz w:val="30"/>
                <w:szCs w:val="30"/>
              </w:rPr>
            </w:pPr>
          </w:p>
        </w:tc>
        <w:tc>
          <w:tcPr>
            <w:tcW w:w="3260" w:type="dxa"/>
            <w:tcBorders>
              <w:top w:val="nil"/>
              <w:left w:val="nil"/>
              <w:bottom w:val="single" w:color="auto" w:sz="4" w:space="0"/>
              <w:right w:val="single" w:color="auto" w:sz="4" w:space="0"/>
            </w:tcBorders>
            <w:noWrap/>
            <w:vAlign w:val="center"/>
          </w:tcPr>
          <w:p w14:paraId="569E1C4B">
            <w:pPr>
              <w:widowControl/>
              <w:spacing w:line="360" w:lineRule="exact"/>
              <w:jc w:val="center"/>
              <w:textAlignment w:val="center"/>
              <w:rPr>
                <w:rFonts w:hint="eastAsia" w:ascii="仿宋_GB2312" w:hAnsi="仿宋_GB2312" w:eastAsia="仿宋_GB2312" w:cs="仿宋_GB2312"/>
                <w:color w:val="000000"/>
                <w:kern w:val="0"/>
                <w:sz w:val="30"/>
                <w:szCs w:val="30"/>
              </w:rPr>
            </w:pPr>
            <w:r>
              <w:rPr>
                <w:rFonts w:hint="eastAsia" w:ascii="仿宋_GB2312" w:hAnsi="仿宋_GB2312" w:eastAsia="仿宋_GB2312" w:cs="仿宋_GB2312"/>
                <w:color w:val="000000"/>
                <w:kern w:val="0"/>
                <w:sz w:val="30"/>
                <w:szCs w:val="30"/>
              </w:rPr>
              <w:t>全媒体广告策划与营销</w:t>
            </w:r>
          </w:p>
        </w:tc>
        <w:tc>
          <w:tcPr>
            <w:tcW w:w="1701" w:type="dxa"/>
            <w:tcBorders>
              <w:top w:val="nil"/>
              <w:left w:val="nil"/>
              <w:bottom w:val="single" w:color="auto" w:sz="4" w:space="0"/>
              <w:right w:val="single" w:color="auto" w:sz="4" w:space="0"/>
            </w:tcBorders>
            <w:noWrap/>
            <w:vAlign w:val="center"/>
          </w:tcPr>
          <w:p w14:paraId="0AB0560C">
            <w:pPr>
              <w:widowControl/>
              <w:spacing w:line="360" w:lineRule="exact"/>
              <w:jc w:val="center"/>
              <w:textAlignment w:val="center"/>
              <w:rPr>
                <w:rFonts w:hint="eastAsia" w:ascii="仿宋_GB2312" w:hAnsi="仿宋_GB2312" w:eastAsia="仿宋_GB2312" w:cs="仿宋_GB2312"/>
                <w:sz w:val="30"/>
                <w:szCs w:val="30"/>
              </w:rPr>
            </w:pPr>
            <w:r>
              <w:rPr>
                <w:rFonts w:hint="eastAsia" w:ascii="仿宋_GB2312" w:hAnsi="仿宋_GB2312" w:eastAsia="仿宋_GB2312" w:cs="仿宋_GB2312"/>
                <w:sz w:val="30"/>
                <w:szCs w:val="30"/>
              </w:rPr>
              <w:t>5500</w:t>
            </w:r>
          </w:p>
        </w:tc>
      </w:tr>
      <w:tr w14:paraId="737B5C78">
        <w:tblPrEx>
          <w:tblCellMar>
            <w:top w:w="0" w:type="dxa"/>
            <w:left w:w="108" w:type="dxa"/>
            <w:bottom w:w="0" w:type="dxa"/>
            <w:right w:w="108" w:type="dxa"/>
          </w:tblCellMar>
        </w:tblPrEx>
        <w:trPr>
          <w:trHeight w:val="435" w:hRule="exact"/>
          <w:jc w:val="center"/>
        </w:trPr>
        <w:tc>
          <w:tcPr>
            <w:tcW w:w="1442" w:type="dxa"/>
            <w:vMerge w:val="continue"/>
            <w:tcBorders>
              <w:left w:val="single" w:color="auto" w:sz="4" w:space="0"/>
              <w:right w:val="single" w:color="auto" w:sz="4" w:space="0"/>
            </w:tcBorders>
            <w:vAlign w:val="center"/>
          </w:tcPr>
          <w:p w14:paraId="52C11D7C">
            <w:pPr>
              <w:widowControl/>
              <w:spacing w:line="360" w:lineRule="exact"/>
              <w:ind w:firstLine="600" w:firstLineChars="200"/>
              <w:jc w:val="center"/>
              <w:rPr>
                <w:rFonts w:hint="eastAsia" w:ascii="仿宋_GB2312" w:hAnsi="仿宋_GB2312" w:eastAsia="仿宋_GB2312" w:cs="仿宋_GB2312"/>
                <w:kern w:val="0"/>
                <w:sz w:val="30"/>
                <w:szCs w:val="30"/>
              </w:rPr>
            </w:pPr>
          </w:p>
        </w:tc>
        <w:tc>
          <w:tcPr>
            <w:tcW w:w="2752" w:type="dxa"/>
            <w:vMerge w:val="restart"/>
            <w:tcBorders>
              <w:top w:val="nil"/>
              <w:left w:val="nil"/>
              <w:right w:val="single" w:color="auto" w:sz="4" w:space="0"/>
            </w:tcBorders>
            <w:noWrap/>
            <w:vAlign w:val="center"/>
          </w:tcPr>
          <w:p w14:paraId="5594FE54">
            <w:pPr>
              <w:widowControl/>
              <w:spacing w:line="360" w:lineRule="exact"/>
              <w:jc w:val="center"/>
              <w:textAlignment w:val="center"/>
              <w:rPr>
                <w:rFonts w:hint="eastAsia" w:ascii="仿宋_GB2312" w:hAnsi="仿宋_GB2312" w:eastAsia="仿宋_GB2312" w:cs="仿宋_GB2312"/>
                <w:color w:val="000000"/>
                <w:kern w:val="0"/>
                <w:sz w:val="30"/>
                <w:szCs w:val="30"/>
              </w:rPr>
            </w:pPr>
            <w:r>
              <w:rPr>
                <w:rFonts w:hint="eastAsia" w:ascii="仿宋_GB2312" w:hAnsi="仿宋_GB2312" w:eastAsia="仿宋_GB2312" w:cs="仿宋_GB2312"/>
                <w:color w:val="000000"/>
                <w:kern w:val="0"/>
                <w:sz w:val="30"/>
                <w:szCs w:val="30"/>
              </w:rPr>
              <w:t>茶学院</w:t>
            </w:r>
          </w:p>
        </w:tc>
        <w:tc>
          <w:tcPr>
            <w:tcW w:w="3260" w:type="dxa"/>
            <w:tcBorders>
              <w:top w:val="nil"/>
              <w:left w:val="nil"/>
              <w:bottom w:val="single" w:color="auto" w:sz="4" w:space="0"/>
              <w:right w:val="single" w:color="auto" w:sz="4" w:space="0"/>
            </w:tcBorders>
            <w:noWrap/>
            <w:vAlign w:val="center"/>
          </w:tcPr>
          <w:p w14:paraId="4FEDC604">
            <w:pPr>
              <w:widowControl/>
              <w:spacing w:line="360" w:lineRule="exact"/>
              <w:jc w:val="center"/>
              <w:textAlignment w:val="center"/>
              <w:rPr>
                <w:rFonts w:hint="eastAsia" w:ascii="仿宋_GB2312" w:hAnsi="仿宋_GB2312" w:eastAsia="仿宋_GB2312" w:cs="仿宋_GB2312"/>
                <w:color w:val="000000"/>
                <w:kern w:val="0"/>
                <w:sz w:val="30"/>
                <w:szCs w:val="30"/>
              </w:rPr>
            </w:pPr>
            <w:r>
              <w:rPr>
                <w:rFonts w:hint="eastAsia" w:ascii="仿宋_GB2312" w:hAnsi="仿宋_GB2312" w:eastAsia="仿宋_GB2312" w:cs="仿宋_GB2312"/>
                <w:color w:val="000000"/>
                <w:kern w:val="0"/>
                <w:sz w:val="30"/>
                <w:szCs w:val="30"/>
              </w:rPr>
              <w:t>茶艺与茶文化</w:t>
            </w:r>
          </w:p>
        </w:tc>
        <w:tc>
          <w:tcPr>
            <w:tcW w:w="1701" w:type="dxa"/>
            <w:tcBorders>
              <w:top w:val="nil"/>
              <w:left w:val="nil"/>
              <w:bottom w:val="single" w:color="auto" w:sz="4" w:space="0"/>
              <w:right w:val="single" w:color="auto" w:sz="4" w:space="0"/>
            </w:tcBorders>
            <w:noWrap/>
            <w:vAlign w:val="center"/>
          </w:tcPr>
          <w:p w14:paraId="6FD257B3">
            <w:pPr>
              <w:widowControl/>
              <w:spacing w:line="360" w:lineRule="exact"/>
              <w:jc w:val="center"/>
              <w:textAlignment w:val="center"/>
              <w:rPr>
                <w:rFonts w:hint="eastAsia" w:ascii="仿宋_GB2312" w:hAnsi="仿宋_GB2312" w:eastAsia="仿宋_GB2312" w:cs="仿宋_GB2312"/>
                <w:sz w:val="30"/>
                <w:szCs w:val="30"/>
              </w:rPr>
            </w:pPr>
            <w:r>
              <w:rPr>
                <w:rFonts w:hint="eastAsia" w:ascii="仿宋_GB2312" w:hAnsi="仿宋_GB2312" w:eastAsia="仿宋_GB2312" w:cs="仿宋_GB2312"/>
                <w:sz w:val="30"/>
                <w:szCs w:val="30"/>
              </w:rPr>
              <w:t>4600</w:t>
            </w:r>
          </w:p>
        </w:tc>
      </w:tr>
      <w:tr w14:paraId="5C96238E">
        <w:tblPrEx>
          <w:tblCellMar>
            <w:top w:w="0" w:type="dxa"/>
            <w:left w:w="108" w:type="dxa"/>
            <w:bottom w:w="0" w:type="dxa"/>
            <w:right w:w="108" w:type="dxa"/>
          </w:tblCellMar>
        </w:tblPrEx>
        <w:trPr>
          <w:trHeight w:val="547" w:hRule="exact"/>
          <w:jc w:val="center"/>
        </w:trPr>
        <w:tc>
          <w:tcPr>
            <w:tcW w:w="1442" w:type="dxa"/>
            <w:vMerge w:val="continue"/>
            <w:tcBorders>
              <w:left w:val="single" w:color="auto" w:sz="4" w:space="0"/>
              <w:bottom w:val="single" w:color="auto" w:sz="4" w:space="0"/>
              <w:right w:val="single" w:color="auto" w:sz="4" w:space="0"/>
            </w:tcBorders>
            <w:vAlign w:val="center"/>
          </w:tcPr>
          <w:p w14:paraId="5E975DE7">
            <w:pPr>
              <w:widowControl/>
              <w:spacing w:line="360" w:lineRule="exact"/>
              <w:ind w:firstLine="600" w:firstLineChars="200"/>
              <w:jc w:val="center"/>
              <w:rPr>
                <w:rFonts w:hint="eastAsia" w:ascii="仿宋_GB2312" w:hAnsi="仿宋_GB2312" w:eastAsia="仿宋_GB2312" w:cs="仿宋_GB2312"/>
                <w:kern w:val="0"/>
                <w:sz w:val="30"/>
                <w:szCs w:val="30"/>
              </w:rPr>
            </w:pPr>
          </w:p>
        </w:tc>
        <w:tc>
          <w:tcPr>
            <w:tcW w:w="2752" w:type="dxa"/>
            <w:vMerge w:val="continue"/>
            <w:tcBorders>
              <w:left w:val="nil"/>
              <w:bottom w:val="single" w:color="auto" w:sz="4" w:space="0"/>
              <w:right w:val="single" w:color="auto" w:sz="4" w:space="0"/>
            </w:tcBorders>
            <w:noWrap/>
            <w:vAlign w:val="center"/>
          </w:tcPr>
          <w:p w14:paraId="6FFA5FED">
            <w:pPr>
              <w:widowControl/>
              <w:spacing w:line="360" w:lineRule="exact"/>
              <w:jc w:val="center"/>
              <w:textAlignment w:val="center"/>
              <w:rPr>
                <w:rFonts w:hint="eastAsia" w:ascii="仿宋_GB2312" w:hAnsi="仿宋_GB2312" w:eastAsia="仿宋_GB2312" w:cs="仿宋_GB2312"/>
                <w:color w:val="000000"/>
                <w:kern w:val="0"/>
                <w:sz w:val="30"/>
                <w:szCs w:val="30"/>
              </w:rPr>
            </w:pPr>
          </w:p>
        </w:tc>
        <w:tc>
          <w:tcPr>
            <w:tcW w:w="3260" w:type="dxa"/>
            <w:tcBorders>
              <w:top w:val="nil"/>
              <w:left w:val="nil"/>
              <w:bottom w:val="single" w:color="auto" w:sz="4" w:space="0"/>
              <w:right w:val="single" w:color="auto" w:sz="4" w:space="0"/>
            </w:tcBorders>
            <w:noWrap/>
            <w:vAlign w:val="center"/>
          </w:tcPr>
          <w:p w14:paraId="733EEE59">
            <w:pPr>
              <w:widowControl/>
              <w:spacing w:line="360" w:lineRule="exact"/>
              <w:jc w:val="center"/>
              <w:textAlignment w:val="center"/>
              <w:rPr>
                <w:rFonts w:hint="eastAsia" w:ascii="仿宋_GB2312" w:hAnsi="仿宋_GB2312" w:eastAsia="仿宋_GB2312" w:cs="仿宋_GB2312"/>
                <w:color w:val="000000"/>
                <w:kern w:val="0"/>
                <w:sz w:val="30"/>
                <w:szCs w:val="30"/>
              </w:rPr>
            </w:pPr>
            <w:r>
              <w:rPr>
                <w:rFonts w:hint="eastAsia" w:ascii="仿宋_GB2312" w:hAnsi="仿宋_GB2312" w:eastAsia="仿宋_GB2312" w:cs="仿宋_GB2312"/>
                <w:color w:val="000000"/>
                <w:kern w:val="0"/>
                <w:sz w:val="30"/>
                <w:szCs w:val="30"/>
              </w:rPr>
              <w:t>食用菌生产与加工技术</w:t>
            </w:r>
          </w:p>
        </w:tc>
        <w:tc>
          <w:tcPr>
            <w:tcW w:w="1701" w:type="dxa"/>
            <w:tcBorders>
              <w:top w:val="nil"/>
              <w:left w:val="nil"/>
              <w:bottom w:val="single" w:color="auto" w:sz="4" w:space="0"/>
              <w:right w:val="single" w:color="auto" w:sz="4" w:space="0"/>
            </w:tcBorders>
            <w:noWrap/>
            <w:vAlign w:val="center"/>
          </w:tcPr>
          <w:p w14:paraId="504AB1DC">
            <w:pPr>
              <w:widowControl/>
              <w:spacing w:line="360" w:lineRule="exact"/>
              <w:jc w:val="center"/>
              <w:textAlignment w:val="center"/>
              <w:rPr>
                <w:rFonts w:hint="eastAsia" w:ascii="仿宋_GB2312" w:hAnsi="仿宋_GB2312" w:eastAsia="仿宋_GB2312" w:cs="仿宋_GB2312"/>
                <w:sz w:val="30"/>
                <w:szCs w:val="30"/>
              </w:rPr>
            </w:pPr>
            <w:r>
              <w:rPr>
                <w:rFonts w:hint="eastAsia" w:ascii="仿宋_GB2312" w:hAnsi="仿宋_GB2312" w:eastAsia="仿宋_GB2312" w:cs="仿宋_GB2312"/>
                <w:sz w:val="30"/>
                <w:szCs w:val="30"/>
              </w:rPr>
              <w:t>3000</w:t>
            </w:r>
          </w:p>
        </w:tc>
      </w:tr>
      <w:tr w14:paraId="58085D8B">
        <w:tblPrEx>
          <w:tblCellMar>
            <w:top w:w="0" w:type="dxa"/>
            <w:left w:w="108" w:type="dxa"/>
            <w:bottom w:w="0" w:type="dxa"/>
            <w:right w:w="108" w:type="dxa"/>
          </w:tblCellMar>
        </w:tblPrEx>
        <w:trPr>
          <w:trHeight w:val="425" w:hRule="exact"/>
          <w:jc w:val="center"/>
        </w:trPr>
        <w:tc>
          <w:tcPr>
            <w:tcW w:w="1442" w:type="dxa"/>
            <w:vMerge w:val="restart"/>
            <w:tcBorders>
              <w:top w:val="single" w:color="auto" w:sz="4" w:space="0"/>
              <w:left w:val="single" w:color="auto" w:sz="4" w:space="0"/>
              <w:right w:val="single" w:color="auto" w:sz="4" w:space="0"/>
            </w:tcBorders>
            <w:vAlign w:val="center"/>
          </w:tcPr>
          <w:p w14:paraId="06DEE83D">
            <w:pPr>
              <w:widowControl/>
              <w:spacing w:line="360" w:lineRule="exact"/>
              <w:jc w:val="center"/>
              <w:rPr>
                <w:rFonts w:hint="eastAsia" w:ascii="仿宋_GB2312" w:hAnsi="仿宋_GB2312" w:eastAsia="仿宋_GB2312" w:cs="仿宋_GB2312"/>
                <w:kern w:val="0"/>
                <w:sz w:val="30"/>
                <w:szCs w:val="30"/>
              </w:rPr>
            </w:pPr>
            <w:r>
              <w:rPr>
                <w:rFonts w:hint="eastAsia" w:ascii="仿宋_GB2312" w:hAnsi="仿宋_GB2312" w:eastAsia="仿宋_GB2312" w:cs="仿宋_GB2312"/>
                <w:kern w:val="0"/>
                <w:sz w:val="30"/>
                <w:szCs w:val="30"/>
              </w:rPr>
              <w:t>专业组二</w:t>
            </w:r>
          </w:p>
        </w:tc>
        <w:tc>
          <w:tcPr>
            <w:tcW w:w="2752" w:type="dxa"/>
            <w:vMerge w:val="restart"/>
            <w:tcBorders>
              <w:top w:val="single" w:color="auto" w:sz="4" w:space="0"/>
              <w:left w:val="nil"/>
              <w:right w:val="single" w:color="auto" w:sz="4" w:space="0"/>
            </w:tcBorders>
            <w:noWrap/>
            <w:vAlign w:val="center"/>
          </w:tcPr>
          <w:p w14:paraId="308023FC">
            <w:pPr>
              <w:widowControl/>
              <w:spacing w:line="360" w:lineRule="exact"/>
              <w:jc w:val="center"/>
              <w:textAlignment w:val="center"/>
              <w:rPr>
                <w:rFonts w:hint="eastAsia" w:ascii="仿宋_GB2312" w:hAnsi="仿宋_GB2312" w:eastAsia="仿宋_GB2312" w:cs="仿宋_GB2312"/>
                <w:color w:val="000000"/>
                <w:kern w:val="0"/>
                <w:sz w:val="30"/>
                <w:szCs w:val="30"/>
              </w:rPr>
            </w:pPr>
            <w:r>
              <w:rPr>
                <w:rFonts w:hint="eastAsia" w:ascii="仿宋_GB2312" w:hAnsi="仿宋_GB2312" w:eastAsia="仿宋_GB2312" w:cs="仿宋_GB2312"/>
                <w:color w:val="000000"/>
                <w:kern w:val="0"/>
                <w:sz w:val="30"/>
                <w:szCs w:val="30"/>
              </w:rPr>
              <w:t>电子商务学院</w:t>
            </w:r>
          </w:p>
        </w:tc>
        <w:tc>
          <w:tcPr>
            <w:tcW w:w="3260" w:type="dxa"/>
            <w:tcBorders>
              <w:top w:val="single" w:color="auto" w:sz="4" w:space="0"/>
              <w:left w:val="nil"/>
              <w:bottom w:val="single" w:color="auto" w:sz="4" w:space="0"/>
              <w:right w:val="single" w:color="auto" w:sz="4" w:space="0"/>
            </w:tcBorders>
            <w:noWrap/>
            <w:vAlign w:val="center"/>
          </w:tcPr>
          <w:p w14:paraId="3EF13A63">
            <w:pPr>
              <w:widowControl/>
              <w:spacing w:line="360" w:lineRule="exact"/>
              <w:jc w:val="center"/>
              <w:textAlignment w:val="center"/>
              <w:rPr>
                <w:rFonts w:hint="eastAsia" w:ascii="仿宋_GB2312" w:hAnsi="仿宋_GB2312" w:eastAsia="仿宋_GB2312" w:cs="仿宋_GB2312"/>
                <w:color w:val="000000"/>
                <w:kern w:val="0"/>
                <w:sz w:val="30"/>
                <w:szCs w:val="30"/>
              </w:rPr>
            </w:pPr>
            <w:r>
              <w:rPr>
                <w:rFonts w:hint="eastAsia" w:ascii="仿宋_GB2312" w:hAnsi="仿宋_GB2312" w:eastAsia="仿宋_GB2312" w:cs="仿宋_GB2312"/>
                <w:color w:val="000000"/>
                <w:kern w:val="0"/>
                <w:sz w:val="30"/>
                <w:szCs w:val="30"/>
              </w:rPr>
              <w:t>电子商务</w:t>
            </w:r>
          </w:p>
        </w:tc>
        <w:tc>
          <w:tcPr>
            <w:tcW w:w="1701" w:type="dxa"/>
            <w:tcBorders>
              <w:top w:val="single" w:color="auto" w:sz="4" w:space="0"/>
              <w:left w:val="nil"/>
              <w:bottom w:val="single" w:color="auto" w:sz="4" w:space="0"/>
              <w:right w:val="single" w:color="auto" w:sz="4" w:space="0"/>
            </w:tcBorders>
            <w:noWrap/>
            <w:vAlign w:val="center"/>
          </w:tcPr>
          <w:p w14:paraId="4759B883">
            <w:pPr>
              <w:widowControl/>
              <w:spacing w:line="360" w:lineRule="exact"/>
              <w:jc w:val="center"/>
              <w:textAlignment w:val="center"/>
              <w:rPr>
                <w:rFonts w:hint="eastAsia" w:ascii="仿宋_GB2312" w:hAnsi="仿宋_GB2312" w:eastAsia="仿宋_GB2312" w:cs="仿宋_GB2312"/>
                <w:sz w:val="30"/>
                <w:szCs w:val="30"/>
              </w:rPr>
            </w:pPr>
            <w:r>
              <w:rPr>
                <w:rFonts w:hint="eastAsia" w:ascii="仿宋_GB2312" w:hAnsi="仿宋_GB2312" w:eastAsia="仿宋_GB2312" w:cs="仿宋_GB2312"/>
                <w:sz w:val="30"/>
                <w:szCs w:val="30"/>
              </w:rPr>
              <w:t>3850</w:t>
            </w:r>
          </w:p>
        </w:tc>
      </w:tr>
      <w:tr w14:paraId="4B074236">
        <w:tblPrEx>
          <w:tblCellMar>
            <w:top w:w="0" w:type="dxa"/>
            <w:left w:w="108" w:type="dxa"/>
            <w:bottom w:w="0" w:type="dxa"/>
            <w:right w:w="108" w:type="dxa"/>
          </w:tblCellMar>
        </w:tblPrEx>
        <w:trPr>
          <w:trHeight w:val="419" w:hRule="exact"/>
          <w:jc w:val="center"/>
        </w:trPr>
        <w:tc>
          <w:tcPr>
            <w:tcW w:w="1442" w:type="dxa"/>
            <w:vMerge w:val="continue"/>
            <w:tcBorders>
              <w:left w:val="single" w:color="auto" w:sz="4" w:space="0"/>
              <w:bottom w:val="single" w:color="auto" w:sz="4" w:space="0"/>
              <w:right w:val="single" w:color="auto" w:sz="4" w:space="0"/>
            </w:tcBorders>
            <w:vAlign w:val="center"/>
          </w:tcPr>
          <w:p w14:paraId="53F9832C">
            <w:pPr>
              <w:widowControl/>
              <w:spacing w:line="360" w:lineRule="exact"/>
              <w:ind w:firstLine="600" w:firstLineChars="200"/>
              <w:jc w:val="center"/>
              <w:rPr>
                <w:rFonts w:hint="eastAsia" w:ascii="仿宋_GB2312" w:hAnsi="仿宋_GB2312" w:eastAsia="仿宋_GB2312" w:cs="仿宋_GB2312"/>
                <w:kern w:val="0"/>
                <w:sz w:val="30"/>
                <w:szCs w:val="30"/>
              </w:rPr>
            </w:pPr>
          </w:p>
        </w:tc>
        <w:tc>
          <w:tcPr>
            <w:tcW w:w="2752" w:type="dxa"/>
            <w:vMerge w:val="continue"/>
            <w:tcBorders>
              <w:left w:val="nil"/>
              <w:bottom w:val="single" w:color="auto" w:sz="4" w:space="0"/>
              <w:right w:val="single" w:color="auto" w:sz="4" w:space="0"/>
            </w:tcBorders>
            <w:noWrap/>
            <w:vAlign w:val="center"/>
          </w:tcPr>
          <w:p w14:paraId="262A1B7C">
            <w:pPr>
              <w:widowControl/>
              <w:spacing w:line="360" w:lineRule="exact"/>
              <w:jc w:val="center"/>
              <w:textAlignment w:val="center"/>
              <w:rPr>
                <w:rFonts w:hint="eastAsia" w:ascii="仿宋_GB2312" w:hAnsi="仿宋_GB2312" w:eastAsia="仿宋_GB2312" w:cs="仿宋_GB2312"/>
                <w:color w:val="000000"/>
                <w:kern w:val="0"/>
                <w:sz w:val="30"/>
                <w:szCs w:val="30"/>
              </w:rPr>
            </w:pPr>
          </w:p>
        </w:tc>
        <w:tc>
          <w:tcPr>
            <w:tcW w:w="3260" w:type="dxa"/>
            <w:tcBorders>
              <w:top w:val="nil"/>
              <w:left w:val="nil"/>
              <w:bottom w:val="single" w:color="auto" w:sz="4" w:space="0"/>
              <w:right w:val="single" w:color="auto" w:sz="4" w:space="0"/>
            </w:tcBorders>
            <w:noWrap/>
            <w:vAlign w:val="center"/>
          </w:tcPr>
          <w:p w14:paraId="386D181F">
            <w:pPr>
              <w:widowControl/>
              <w:spacing w:line="360" w:lineRule="exact"/>
              <w:jc w:val="center"/>
              <w:textAlignment w:val="center"/>
              <w:rPr>
                <w:rFonts w:hint="eastAsia" w:ascii="仿宋_GB2312" w:hAnsi="仿宋_GB2312" w:eastAsia="仿宋_GB2312" w:cs="仿宋_GB2312"/>
                <w:color w:val="000000"/>
                <w:kern w:val="0"/>
                <w:sz w:val="30"/>
                <w:szCs w:val="30"/>
              </w:rPr>
            </w:pPr>
            <w:r>
              <w:rPr>
                <w:rFonts w:hint="eastAsia" w:ascii="仿宋_GB2312" w:hAnsi="仿宋_GB2312" w:eastAsia="仿宋_GB2312" w:cs="仿宋_GB2312"/>
                <w:color w:val="000000"/>
                <w:kern w:val="0"/>
                <w:sz w:val="30"/>
                <w:szCs w:val="30"/>
              </w:rPr>
              <w:t>国际商务</w:t>
            </w:r>
          </w:p>
        </w:tc>
        <w:tc>
          <w:tcPr>
            <w:tcW w:w="1701" w:type="dxa"/>
            <w:tcBorders>
              <w:top w:val="nil"/>
              <w:left w:val="nil"/>
              <w:bottom w:val="single" w:color="auto" w:sz="4" w:space="0"/>
              <w:right w:val="single" w:color="auto" w:sz="4" w:space="0"/>
            </w:tcBorders>
            <w:noWrap/>
            <w:vAlign w:val="center"/>
          </w:tcPr>
          <w:p w14:paraId="4C434051">
            <w:pPr>
              <w:widowControl/>
              <w:spacing w:line="360" w:lineRule="exact"/>
              <w:jc w:val="center"/>
              <w:textAlignment w:val="center"/>
              <w:rPr>
                <w:rFonts w:hint="eastAsia" w:ascii="仿宋_GB2312" w:hAnsi="仿宋_GB2312" w:eastAsia="仿宋_GB2312" w:cs="仿宋_GB2312"/>
                <w:sz w:val="30"/>
                <w:szCs w:val="30"/>
              </w:rPr>
            </w:pPr>
            <w:r>
              <w:rPr>
                <w:rFonts w:hint="eastAsia" w:ascii="仿宋_GB2312" w:hAnsi="仿宋_GB2312" w:eastAsia="仿宋_GB2312" w:cs="仿宋_GB2312"/>
                <w:sz w:val="30"/>
                <w:szCs w:val="30"/>
              </w:rPr>
              <w:t>3500</w:t>
            </w:r>
          </w:p>
        </w:tc>
      </w:tr>
      <w:tr w14:paraId="24E946D3">
        <w:tblPrEx>
          <w:tblCellMar>
            <w:top w:w="0" w:type="dxa"/>
            <w:left w:w="108" w:type="dxa"/>
            <w:bottom w:w="0" w:type="dxa"/>
            <w:right w:w="108" w:type="dxa"/>
          </w:tblCellMar>
        </w:tblPrEx>
        <w:trPr>
          <w:trHeight w:val="445" w:hRule="exact"/>
          <w:jc w:val="center"/>
        </w:trPr>
        <w:tc>
          <w:tcPr>
            <w:tcW w:w="1442" w:type="dxa"/>
            <w:vMerge w:val="continue"/>
            <w:tcBorders>
              <w:top w:val="single" w:color="auto" w:sz="4" w:space="0"/>
              <w:left w:val="single" w:color="auto" w:sz="4" w:space="0"/>
              <w:bottom w:val="single" w:color="auto" w:sz="4" w:space="0"/>
              <w:right w:val="single" w:color="auto" w:sz="4" w:space="0"/>
            </w:tcBorders>
            <w:vAlign w:val="center"/>
          </w:tcPr>
          <w:p w14:paraId="7083E2D6">
            <w:pPr>
              <w:widowControl/>
              <w:spacing w:line="360" w:lineRule="exact"/>
              <w:ind w:firstLine="600" w:firstLineChars="200"/>
              <w:jc w:val="center"/>
              <w:rPr>
                <w:rFonts w:hint="eastAsia" w:ascii="仿宋_GB2312" w:hAnsi="仿宋_GB2312" w:eastAsia="仿宋_GB2312" w:cs="仿宋_GB2312"/>
                <w:kern w:val="0"/>
                <w:sz w:val="30"/>
                <w:szCs w:val="30"/>
              </w:rPr>
            </w:pPr>
          </w:p>
        </w:tc>
        <w:tc>
          <w:tcPr>
            <w:tcW w:w="2752" w:type="dxa"/>
            <w:vMerge w:val="continue"/>
            <w:tcBorders>
              <w:top w:val="single" w:color="auto" w:sz="4" w:space="0"/>
              <w:left w:val="nil"/>
              <w:bottom w:val="single" w:color="auto" w:sz="4" w:space="0"/>
              <w:right w:val="single" w:color="auto" w:sz="4" w:space="0"/>
            </w:tcBorders>
            <w:noWrap/>
            <w:vAlign w:val="center"/>
          </w:tcPr>
          <w:p w14:paraId="0EA2280D">
            <w:pPr>
              <w:widowControl/>
              <w:spacing w:line="360" w:lineRule="exact"/>
              <w:jc w:val="center"/>
              <w:textAlignment w:val="center"/>
              <w:rPr>
                <w:rFonts w:hint="eastAsia" w:ascii="仿宋_GB2312" w:hAnsi="仿宋_GB2312" w:eastAsia="仿宋_GB2312" w:cs="仿宋_GB2312"/>
                <w:color w:val="000000"/>
                <w:kern w:val="0"/>
                <w:sz w:val="30"/>
                <w:szCs w:val="30"/>
              </w:rPr>
            </w:pPr>
          </w:p>
        </w:tc>
        <w:tc>
          <w:tcPr>
            <w:tcW w:w="3260" w:type="dxa"/>
            <w:tcBorders>
              <w:top w:val="nil"/>
              <w:left w:val="nil"/>
              <w:bottom w:val="single" w:color="auto" w:sz="4" w:space="0"/>
              <w:right w:val="single" w:color="auto" w:sz="4" w:space="0"/>
            </w:tcBorders>
            <w:noWrap/>
            <w:vAlign w:val="center"/>
          </w:tcPr>
          <w:p w14:paraId="7DE73B62">
            <w:pPr>
              <w:widowControl/>
              <w:spacing w:line="360" w:lineRule="exact"/>
              <w:jc w:val="center"/>
              <w:textAlignment w:val="center"/>
              <w:rPr>
                <w:rFonts w:hint="eastAsia" w:ascii="仿宋_GB2312" w:hAnsi="仿宋_GB2312" w:eastAsia="仿宋_GB2312" w:cs="仿宋_GB2312"/>
                <w:color w:val="000000"/>
                <w:kern w:val="0"/>
                <w:sz w:val="30"/>
                <w:szCs w:val="30"/>
              </w:rPr>
            </w:pPr>
            <w:r>
              <w:rPr>
                <w:rFonts w:hint="eastAsia" w:ascii="仿宋_GB2312" w:hAnsi="仿宋_GB2312" w:eastAsia="仿宋_GB2312" w:cs="仿宋_GB2312"/>
                <w:color w:val="000000"/>
                <w:kern w:val="0"/>
                <w:sz w:val="30"/>
                <w:szCs w:val="30"/>
              </w:rPr>
              <w:t>农村电子商务</w:t>
            </w:r>
          </w:p>
        </w:tc>
        <w:tc>
          <w:tcPr>
            <w:tcW w:w="1701" w:type="dxa"/>
            <w:tcBorders>
              <w:top w:val="nil"/>
              <w:left w:val="nil"/>
              <w:bottom w:val="single" w:color="auto" w:sz="4" w:space="0"/>
              <w:right w:val="single" w:color="auto" w:sz="4" w:space="0"/>
            </w:tcBorders>
            <w:noWrap/>
            <w:vAlign w:val="center"/>
          </w:tcPr>
          <w:p w14:paraId="2ADE1571">
            <w:pPr>
              <w:widowControl/>
              <w:spacing w:line="360" w:lineRule="exact"/>
              <w:jc w:val="center"/>
              <w:textAlignment w:val="center"/>
              <w:rPr>
                <w:rFonts w:hint="eastAsia" w:ascii="仿宋_GB2312" w:hAnsi="仿宋_GB2312" w:eastAsia="仿宋_GB2312" w:cs="仿宋_GB2312"/>
                <w:sz w:val="30"/>
                <w:szCs w:val="30"/>
              </w:rPr>
            </w:pPr>
            <w:r>
              <w:rPr>
                <w:rFonts w:hint="eastAsia" w:ascii="仿宋_GB2312" w:hAnsi="仿宋_GB2312" w:eastAsia="仿宋_GB2312" w:cs="仿宋_GB2312"/>
                <w:sz w:val="30"/>
                <w:szCs w:val="30"/>
              </w:rPr>
              <w:t>3500</w:t>
            </w:r>
          </w:p>
        </w:tc>
      </w:tr>
      <w:tr w14:paraId="753C2854">
        <w:tblPrEx>
          <w:tblCellMar>
            <w:top w:w="0" w:type="dxa"/>
            <w:left w:w="108" w:type="dxa"/>
            <w:bottom w:w="0" w:type="dxa"/>
            <w:right w:w="108" w:type="dxa"/>
          </w:tblCellMar>
        </w:tblPrEx>
        <w:trPr>
          <w:trHeight w:val="436" w:hRule="exact"/>
          <w:jc w:val="center"/>
        </w:trPr>
        <w:tc>
          <w:tcPr>
            <w:tcW w:w="1442" w:type="dxa"/>
            <w:vMerge w:val="restart"/>
            <w:tcBorders>
              <w:top w:val="single" w:color="auto" w:sz="4" w:space="0"/>
              <w:left w:val="single" w:color="auto" w:sz="4" w:space="0"/>
              <w:right w:val="single" w:color="auto" w:sz="4" w:space="0"/>
            </w:tcBorders>
            <w:vAlign w:val="center"/>
          </w:tcPr>
          <w:p w14:paraId="244EDE07">
            <w:pPr>
              <w:widowControl/>
              <w:spacing w:line="360" w:lineRule="exact"/>
              <w:jc w:val="center"/>
              <w:rPr>
                <w:rFonts w:hint="eastAsia" w:ascii="仿宋_GB2312" w:hAnsi="仿宋_GB2312" w:eastAsia="仿宋_GB2312" w:cs="仿宋_GB2312"/>
                <w:kern w:val="0"/>
                <w:sz w:val="30"/>
                <w:szCs w:val="30"/>
              </w:rPr>
            </w:pPr>
            <w:r>
              <w:rPr>
                <w:rFonts w:hint="eastAsia" w:ascii="仿宋_GB2312" w:hAnsi="仿宋_GB2312" w:eastAsia="仿宋_GB2312" w:cs="仿宋_GB2312"/>
                <w:kern w:val="0"/>
                <w:sz w:val="30"/>
                <w:szCs w:val="30"/>
              </w:rPr>
              <w:t>专业组三</w:t>
            </w:r>
          </w:p>
        </w:tc>
        <w:tc>
          <w:tcPr>
            <w:tcW w:w="2752" w:type="dxa"/>
            <w:vMerge w:val="restart"/>
            <w:tcBorders>
              <w:top w:val="single" w:color="auto" w:sz="4" w:space="0"/>
              <w:left w:val="single" w:color="auto" w:sz="4" w:space="0"/>
              <w:right w:val="single" w:color="auto" w:sz="4" w:space="0"/>
            </w:tcBorders>
            <w:noWrap/>
            <w:vAlign w:val="center"/>
          </w:tcPr>
          <w:p w14:paraId="00A87010">
            <w:pPr>
              <w:widowControl/>
              <w:spacing w:line="360" w:lineRule="exact"/>
              <w:jc w:val="center"/>
              <w:textAlignment w:val="center"/>
              <w:rPr>
                <w:rFonts w:hint="eastAsia" w:ascii="仿宋_GB2312" w:hAnsi="仿宋_GB2312" w:eastAsia="仿宋_GB2312" w:cs="仿宋_GB2312"/>
                <w:color w:val="000000"/>
                <w:kern w:val="0"/>
                <w:sz w:val="30"/>
                <w:szCs w:val="30"/>
              </w:rPr>
            </w:pPr>
            <w:r>
              <w:rPr>
                <w:rFonts w:hint="eastAsia" w:ascii="仿宋_GB2312" w:hAnsi="仿宋_GB2312" w:eastAsia="仿宋_GB2312" w:cs="仿宋_GB2312"/>
                <w:color w:val="000000"/>
                <w:kern w:val="0"/>
                <w:sz w:val="30"/>
                <w:szCs w:val="30"/>
              </w:rPr>
              <w:t>会计学院</w:t>
            </w:r>
          </w:p>
        </w:tc>
        <w:tc>
          <w:tcPr>
            <w:tcW w:w="3260" w:type="dxa"/>
            <w:tcBorders>
              <w:top w:val="single" w:color="auto" w:sz="4" w:space="0"/>
              <w:left w:val="single" w:color="auto" w:sz="4" w:space="0"/>
              <w:bottom w:val="single" w:color="auto" w:sz="4" w:space="0"/>
              <w:right w:val="single" w:color="auto" w:sz="4" w:space="0"/>
            </w:tcBorders>
            <w:noWrap/>
            <w:vAlign w:val="center"/>
          </w:tcPr>
          <w:p w14:paraId="58DFCE28">
            <w:pPr>
              <w:widowControl/>
              <w:spacing w:line="360" w:lineRule="exact"/>
              <w:jc w:val="center"/>
              <w:textAlignment w:val="center"/>
              <w:rPr>
                <w:rFonts w:hint="eastAsia" w:ascii="仿宋_GB2312" w:hAnsi="仿宋_GB2312" w:eastAsia="仿宋_GB2312" w:cs="仿宋_GB2312"/>
                <w:color w:val="000000"/>
                <w:kern w:val="0"/>
                <w:sz w:val="30"/>
                <w:szCs w:val="30"/>
              </w:rPr>
            </w:pPr>
            <w:r>
              <w:rPr>
                <w:rFonts w:hint="eastAsia" w:ascii="仿宋_GB2312" w:hAnsi="仿宋_GB2312" w:eastAsia="仿宋_GB2312" w:cs="仿宋_GB2312"/>
                <w:color w:val="000000"/>
                <w:kern w:val="0"/>
                <w:sz w:val="30"/>
                <w:szCs w:val="30"/>
              </w:rPr>
              <w:t>大数据与会计</w:t>
            </w:r>
          </w:p>
        </w:tc>
        <w:tc>
          <w:tcPr>
            <w:tcW w:w="1701" w:type="dxa"/>
            <w:tcBorders>
              <w:top w:val="single" w:color="auto" w:sz="4" w:space="0"/>
              <w:left w:val="nil"/>
              <w:bottom w:val="single" w:color="auto" w:sz="4" w:space="0"/>
              <w:right w:val="single" w:color="auto" w:sz="4" w:space="0"/>
            </w:tcBorders>
            <w:noWrap/>
            <w:vAlign w:val="center"/>
          </w:tcPr>
          <w:p w14:paraId="1CF4C527">
            <w:pPr>
              <w:widowControl/>
              <w:spacing w:line="360" w:lineRule="exact"/>
              <w:jc w:val="center"/>
              <w:textAlignment w:val="center"/>
              <w:rPr>
                <w:rFonts w:hint="eastAsia" w:ascii="仿宋_GB2312" w:hAnsi="仿宋_GB2312" w:eastAsia="仿宋_GB2312" w:cs="仿宋_GB2312"/>
                <w:sz w:val="30"/>
                <w:szCs w:val="30"/>
              </w:rPr>
            </w:pPr>
            <w:r>
              <w:rPr>
                <w:rFonts w:hint="eastAsia" w:ascii="仿宋_GB2312" w:hAnsi="仿宋_GB2312" w:eastAsia="仿宋_GB2312" w:cs="仿宋_GB2312"/>
                <w:sz w:val="30"/>
                <w:szCs w:val="30"/>
              </w:rPr>
              <w:t>3850</w:t>
            </w:r>
          </w:p>
        </w:tc>
      </w:tr>
      <w:tr w14:paraId="0D1B0BA6">
        <w:tblPrEx>
          <w:tblCellMar>
            <w:top w:w="0" w:type="dxa"/>
            <w:left w:w="108" w:type="dxa"/>
            <w:bottom w:w="0" w:type="dxa"/>
            <w:right w:w="108" w:type="dxa"/>
          </w:tblCellMar>
        </w:tblPrEx>
        <w:trPr>
          <w:trHeight w:val="456" w:hRule="exact"/>
          <w:jc w:val="center"/>
        </w:trPr>
        <w:tc>
          <w:tcPr>
            <w:tcW w:w="1442" w:type="dxa"/>
            <w:vMerge w:val="continue"/>
            <w:tcBorders>
              <w:left w:val="single" w:color="auto" w:sz="4" w:space="0"/>
              <w:right w:val="single" w:color="auto" w:sz="4" w:space="0"/>
            </w:tcBorders>
            <w:vAlign w:val="center"/>
          </w:tcPr>
          <w:p w14:paraId="1FE42371">
            <w:pPr>
              <w:widowControl/>
              <w:spacing w:line="360" w:lineRule="exact"/>
              <w:ind w:firstLine="600" w:firstLineChars="200"/>
              <w:jc w:val="center"/>
              <w:rPr>
                <w:rFonts w:hint="eastAsia" w:ascii="仿宋_GB2312" w:hAnsi="仿宋_GB2312" w:eastAsia="仿宋_GB2312" w:cs="仿宋_GB2312"/>
                <w:kern w:val="0"/>
                <w:sz w:val="30"/>
                <w:szCs w:val="30"/>
              </w:rPr>
            </w:pPr>
          </w:p>
        </w:tc>
        <w:tc>
          <w:tcPr>
            <w:tcW w:w="2752" w:type="dxa"/>
            <w:vMerge w:val="continue"/>
            <w:tcBorders>
              <w:left w:val="single" w:color="auto" w:sz="4" w:space="0"/>
              <w:right w:val="single" w:color="auto" w:sz="4" w:space="0"/>
            </w:tcBorders>
            <w:noWrap/>
            <w:vAlign w:val="center"/>
          </w:tcPr>
          <w:p w14:paraId="0E306285">
            <w:pPr>
              <w:widowControl/>
              <w:spacing w:line="360" w:lineRule="exact"/>
              <w:jc w:val="center"/>
              <w:textAlignment w:val="center"/>
              <w:rPr>
                <w:rFonts w:hint="eastAsia" w:ascii="仿宋_GB2312" w:hAnsi="仿宋_GB2312" w:eastAsia="仿宋_GB2312" w:cs="仿宋_GB2312"/>
                <w:color w:val="000000"/>
                <w:kern w:val="0"/>
                <w:sz w:val="30"/>
                <w:szCs w:val="30"/>
              </w:rPr>
            </w:pPr>
          </w:p>
        </w:tc>
        <w:tc>
          <w:tcPr>
            <w:tcW w:w="3260" w:type="dxa"/>
            <w:tcBorders>
              <w:top w:val="nil"/>
              <w:left w:val="nil"/>
              <w:bottom w:val="single" w:color="auto" w:sz="4" w:space="0"/>
              <w:right w:val="single" w:color="auto" w:sz="4" w:space="0"/>
            </w:tcBorders>
            <w:noWrap/>
            <w:vAlign w:val="center"/>
          </w:tcPr>
          <w:p w14:paraId="71405231">
            <w:pPr>
              <w:widowControl/>
              <w:spacing w:line="360" w:lineRule="exact"/>
              <w:jc w:val="center"/>
              <w:textAlignment w:val="center"/>
              <w:rPr>
                <w:rFonts w:hint="eastAsia" w:ascii="仿宋_GB2312" w:hAnsi="仿宋_GB2312" w:eastAsia="仿宋_GB2312" w:cs="仿宋_GB2312"/>
                <w:color w:val="000000"/>
                <w:kern w:val="0"/>
                <w:sz w:val="30"/>
                <w:szCs w:val="30"/>
              </w:rPr>
            </w:pPr>
            <w:r>
              <w:rPr>
                <w:rFonts w:hint="eastAsia" w:ascii="仿宋_GB2312" w:hAnsi="仿宋_GB2312" w:eastAsia="仿宋_GB2312" w:cs="仿宋_GB2312"/>
                <w:color w:val="000000"/>
                <w:kern w:val="0"/>
                <w:sz w:val="30"/>
                <w:szCs w:val="30"/>
              </w:rPr>
              <w:t>大数据与财务管理</w:t>
            </w:r>
          </w:p>
        </w:tc>
        <w:tc>
          <w:tcPr>
            <w:tcW w:w="1701" w:type="dxa"/>
            <w:tcBorders>
              <w:top w:val="nil"/>
              <w:left w:val="nil"/>
              <w:bottom w:val="single" w:color="auto" w:sz="4" w:space="0"/>
              <w:right w:val="single" w:color="auto" w:sz="4" w:space="0"/>
            </w:tcBorders>
            <w:noWrap/>
            <w:vAlign w:val="center"/>
          </w:tcPr>
          <w:p w14:paraId="4B9E25C0">
            <w:pPr>
              <w:widowControl/>
              <w:spacing w:line="360" w:lineRule="exact"/>
              <w:jc w:val="center"/>
              <w:textAlignment w:val="center"/>
              <w:rPr>
                <w:rFonts w:hint="eastAsia" w:ascii="仿宋_GB2312" w:hAnsi="仿宋_GB2312" w:eastAsia="仿宋_GB2312" w:cs="仿宋_GB2312"/>
                <w:sz w:val="30"/>
                <w:szCs w:val="30"/>
              </w:rPr>
            </w:pPr>
            <w:r>
              <w:rPr>
                <w:rFonts w:hint="eastAsia" w:ascii="仿宋_GB2312" w:hAnsi="仿宋_GB2312" w:eastAsia="仿宋_GB2312" w:cs="仿宋_GB2312"/>
                <w:sz w:val="30"/>
                <w:szCs w:val="30"/>
              </w:rPr>
              <w:t>3850</w:t>
            </w:r>
          </w:p>
        </w:tc>
      </w:tr>
      <w:tr w14:paraId="52DE0079">
        <w:tblPrEx>
          <w:tblCellMar>
            <w:top w:w="0" w:type="dxa"/>
            <w:left w:w="108" w:type="dxa"/>
            <w:bottom w:w="0" w:type="dxa"/>
            <w:right w:w="108" w:type="dxa"/>
          </w:tblCellMar>
        </w:tblPrEx>
        <w:trPr>
          <w:trHeight w:val="465" w:hRule="exact"/>
          <w:jc w:val="center"/>
        </w:trPr>
        <w:tc>
          <w:tcPr>
            <w:tcW w:w="1442" w:type="dxa"/>
            <w:vMerge w:val="continue"/>
            <w:tcBorders>
              <w:left w:val="single" w:color="auto" w:sz="4" w:space="0"/>
              <w:right w:val="single" w:color="auto" w:sz="4" w:space="0"/>
            </w:tcBorders>
            <w:vAlign w:val="center"/>
          </w:tcPr>
          <w:p w14:paraId="619A8B10">
            <w:pPr>
              <w:widowControl/>
              <w:spacing w:line="360" w:lineRule="exact"/>
              <w:ind w:firstLine="600" w:firstLineChars="200"/>
              <w:jc w:val="center"/>
              <w:rPr>
                <w:rFonts w:hint="eastAsia" w:ascii="仿宋_GB2312" w:hAnsi="仿宋_GB2312" w:eastAsia="仿宋_GB2312" w:cs="仿宋_GB2312"/>
                <w:kern w:val="0"/>
                <w:sz w:val="30"/>
                <w:szCs w:val="30"/>
              </w:rPr>
            </w:pPr>
          </w:p>
        </w:tc>
        <w:tc>
          <w:tcPr>
            <w:tcW w:w="2752" w:type="dxa"/>
            <w:vMerge w:val="continue"/>
            <w:tcBorders>
              <w:left w:val="single" w:color="auto" w:sz="4" w:space="0"/>
              <w:right w:val="single" w:color="auto" w:sz="4" w:space="0"/>
            </w:tcBorders>
            <w:noWrap/>
            <w:vAlign w:val="center"/>
          </w:tcPr>
          <w:p w14:paraId="00D5C1A7">
            <w:pPr>
              <w:widowControl/>
              <w:spacing w:line="360" w:lineRule="exact"/>
              <w:jc w:val="center"/>
              <w:textAlignment w:val="center"/>
              <w:rPr>
                <w:rFonts w:hint="eastAsia" w:ascii="仿宋_GB2312" w:hAnsi="仿宋_GB2312" w:eastAsia="仿宋_GB2312" w:cs="仿宋_GB2312"/>
                <w:color w:val="000000"/>
                <w:kern w:val="0"/>
                <w:sz w:val="30"/>
                <w:szCs w:val="30"/>
              </w:rPr>
            </w:pPr>
          </w:p>
        </w:tc>
        <w:tc>
          <w:tcPr>
            <w:tcW w:w="3260" w:type="dxa"/>
            <w:tcBorders>
              <w:top w:val="nil"/>
              <w:left w:val="nil"/>
              <w:bottom w:val="single" w:color="auto" w:sz="4" w:space="0"/>
              <w:right w:val="single" w:color="auto" w:sz="4" w:space="0"/>
            </w:tcBorders>
            <w:noWrap/>
            <w:vAlign w:val="center"/>
          </w:tcPr>
          <w:p w14:paraId="2372D92B">
            <w:pPr>
              <w:widowControl/>
              <w:spacing w:line="360" w:lineRule="exact"/>
              <w:jc w:val="center"/>
              <w:textAlignment w:val="center"/>
              <w:rPr>
                <w:rFonts w:hint="eastAsia" w:ascii="仿宋_GB2312" w:hAnsi="仿宋_GB2312" w:eastAsia="仿宋_GB2312" w:cs="仿宋_GB2312"/>
                <w:color w:val="000000"/>
                <w:kern w:val="0"/>
                <w:sz w:val="30"/>
                <w:szCs w:val="30"/>
              </w:rPr>
            </w:pPr>
            <w:r>
              <w:rPr>
                <w:rFonts w:hint="eastAsia" w:ascii="仿宋_GB2312" w:hAnsi="仿宋_GB2312" w:eastAsia="仿宋_GB2312" w:cs="仿宋_GB2312"/>
                <w:color w:val="000000"/>
                <w:kern w:val="0"/>
                <w:sz w:val="30"/>
                <w:szCs w:val="30"/>
              </w:rPr>
              <w:t>统计与会计核算</w:t>
            </w:r>
          </w:p>
        </w:tc>
        <w:tc>
          <w:tcPr>
            <w:tcW w:w="1701" w:type="dxa"/>
            <w:tcBorders>
              <w:top w:val="nil"/>
              <w:left w:val="nil"/>
              <w:bottom w:val="single" w:color="auto" w:sz="4" w:space="0"/>
              <w:right w:val="single" w:color="auto" w:sz="4" w:space="0"/>
            </w:tcBorders>
            <w:noWrap/>
            <w:vAlign w:val="center"/>
          </w:tcPr>
          <w:p w14:paraId="080214A0">
            <w:pPr>
              <w:widowControl/>
              <w:spacing w:line="360" w:lineRule="exact"/>
              <w:jc w:val="center"/>
              <w:textAlignment w:val="center"/>
              <w:rPr>
                <w:rFonts w:hint="eastAsia" w:ascii="仿宋_GB2312" w:hAnsi="仿宋_GB2312" w:eastAsia="仿宋_GB2312" w:cs="仿宋_GB2312"/>
                <w:sz w:val="30"/>
                <w:szCs w:val="30"/>
              </w:rPr>
            </w:pPr>
            <w:r>
              <w:rPr>
                <w:rFonts w:hint="eastAsia" w:ascii="仿宋_GB2312" w:hAnsi="仿宋_GB2312" w:eastAsia="仿宋_GB2312" w:cs="仿宋_GB2312"/>
                <w:sz w:val="30"/>
                <w:szCs w:val="30"/>
              </w:rPr>
              <w:t>3500</w:t>
            </w:r>
          </w:p>
        </w:tc>
      </w:tr>
      <w:tr w14:paraId="47DEC19B">
        <w:tblPrEx>
          <w:tblCellMar>
            <w:top w:w="0" w:type="dxa"/>
            <w:left w:w="108" w:type="dxa"/>
            <w:bottom w:w="0" w:type="dxa"/>
            <w:right w:w="108" w:type="dxa"/>
          </w:tblCellMar>
        </w:tblPrEx>
        <w:trPr>
          <w:trHeight w:val="466" w:hRule="exact"/>
          <w:jc w:val="center"/>
        </w:trPr>
        <w:tc>
          <w:tcPr>
            <w:tcW w:w="1442" w:type="dxa"/>
            <w:vMerge w:val="continue"/>
            <w:tcBorders>
              <w:left w:val="single" w:color="auto" w:sz="4" w:space="0"/>
              <w:right w:val="single" w:color="auto" w:sz="4" w:space="0"/>
            </w:tcBorders>
            <w:vAlign w:val="center"/>
          </w:tcPr>
          <w:p w14:paraId="29C508F3">
            <w:pPr>
              <w:widowControl/>
              <w:spacing w:line="360" w:lineRule="exact"/>
              <w:ind w:firstLine="600" w:firstLineChars="200"/>
              <w:jc w:val="center"/>
              <w:rPr>
                <w:rFonts w:hint="eastAsia" w:ascii="仿宋_GB2312" w:hAnsi="仿宋_GB2312" w:eastAsia="仿宋_GB2312" w:cs="仿宋_GB2312"/>
                <w:kern w:val="0"/>
                <w:sz w:val="30"/>
                <w:szCs w:val="30"/>
              </w:rPr>
            </w:pPr>
          </w:p>
        </w:tc>
        <w:tc>
          <w:tcPr>
            <w:tcW w:w="2752" w:type="dxa"/>
            <w:vMerge w:val="continue"/>
            <w:tcBorders>
              <w:left w:val="single" w:color="auto" w:sz="4" w:space="0"/>
              <w:right w:val="single" w:color="auto" w:sz="4" w:space="0"/>
            </w:tcBorders>
            <w:noWrap/>
            <w:vAlign w:val="center"/>
          </w:tcPr>
          <w:p w14:paraId="06F50C20">
            <w:pPr>
              <w:widowControl/>
              <w:spacing w:line="360" w:lineRule="exact"/>
              <w:jc w:val="center"/>
              <w:textAlignment w:val="center"/>
              <w:rPr>
                <w:rFonts w:hint="eastAsia" w:ascii="仿宋_GB2312" w:hAnsi="仿宋_GB2312" w:eastAsia="仿宋_GB2312" w:cs="仿宋_GB2312"/>
                <w:color w:val="000000"/>
                <w:kern w:val="0"/>
                <w:sz w:val="30"/>
                <w:szCs w:val="30"/>
              </w:rPr>
            </w:pPr>
          </w:p>
        </w:tc>
        <w:tc>
          <w:tcPr>
            <w:tcW w:w="3260" w:type="dxa"/>
            <w:tcBorders>
              <w:top w:val="nil"/>
              <w:left w:val="nil"/>
              <w:bottom w:val="single" w:color="auto" w:sz="4" w:space="0"/>
              <w:right w:val="single" w:color="auto" w:sz="4" w:space="0"/>
            </w:tcBorders>
            <w:noWrap/>
            <w:vAlign w:val="center"/>
          </w:tcPr>
          <w:p w14:paraId="01DEE3CC">
            <w:pPr>
              <w:widowControl/>
              <w:spacing w:line="360" w:lineRule="exact"/>
              <w:jc w:val="center"/>
              <w:textAlignment w:val="center"/>
              <w:rPr>
                <w:rFonts w:hint="eastAsia" w:ascii="仿宋_GB2312" w:hAnsi="仿宋_GB2312" w:eastAsia="仿宋_GB2312" w:cs="仿宋_GB2312"/>
                <w:color w:val="000000"/>
                <w:kern w:val="0"/>
                <w:sz w:val="30"/>
                <w:szCs w:val="30"/>
              </w:rPr>
            </w:pPr>
            <w:r>
              <w:rPr>
                <w:rFonts w:hint="eastAsia" w:ascii="仿宋_GB2312" w:hAnsi="仿宋_GB2312" w:eastAsia="仿宋_GB2312" w:cs="仿宋_GB2312"/>
                <w:color w:val="000000"/>
                <w:kern w:val="0"/>
                <w:sz w:val="30"/>
                <w:szCs w:val="30"/>
              </w:rPr>
              <w:t>会计信息管理</w:t>
            </w:r>
          </w:p>
        </w:tc>
        <w:tc>
          <w:tcPr>
            <w:tcW w:w="1701" w:type="dxa"/>
            <w:tcBorders>
              <w:top w:val="nil"/>
              <w:left w:val="nil"/>
              <w:bottom w:val="single" w:color="auto" w:sz="4" w:space="0"/>
              <w:right w:val="single" w:color="auto" w:sz="4" w:space="0"/>
            </w:tcBorders>
            <w:noWrap/>
            <w:vAlign w:val="center"/>
          </w:tcPr>
          <w:p w14:paraId="5ED5B71D">
            <w:pPr>
              <w:widowControl/>
              <w:spacing w:line="360" w:lineRule="exact"/>
              <w:jc w:val="center"/>
              <w:textAlignment w:val="center"/>
              <w:rPr>
                <w:rFonts w:hint="eastAsia" w:ascii="仿宋_GB2312" w:hAnsi="仿宋_GB2312" w:eastAsia="仿宋_GB2312" w:cs="仿宋_GB2312"/>
                <w:sz w:val="30"/>
                <w:szCs w:val="30"/>
              </w:rPr>
            </w:pPr>
            <w:r>
              <w:rPr>
                <w:rFonts w:hint="eastAsia" w:ascii="仿宋_GB2312" w:hAnsi="仿宋_GB2312" w:eastAsia="仿宋_GB2312" w:cs="仿宋_GB2312"/>
                <w:sz w:val="30"/>
                <w:szCs w:val="30"/>
              </w:rPr>
              <w:t>3500</w:t>
            </w:r>
          </w:p>
        </w:tc>
      </w:tr>
      <w:tr w14:paraId="73D1CDE6">
        <w:tblPrEx>
          <w:tblCellMar>
            <w:top w:w="0" w:type="dxa"/>
            <w:left w:w="108" w:type="dxa"/>
            <w:bottom w:w="0" w:type="dxa"/>
            <w:right w:w="108" w:type="dxa"/>
          </w:tblCellMar>
        </w:tblPrEx>
        <w:trPr>
          <w:trHeight w:val="467" w:hRule="exact"/>
          <w:jc w:val="center"/>
        </w:trPr>
        <w:tc>
          <w:tcPr>
            <w:tcW w:w="1442" w:type="dxa"/>
            <w:vMerge w:val="continue"/>
            <w:tcBorders>
              <w:left w:val="single" w:color="auto" w:sz="4" w:space="0"/>
              <w:right w:val="single" w:color="auto" w:sz="4" w:space="0"/>
            </w:tcBorders>
            <w:vAlign w:val="center"/>
          </w:tcPr>
          <w:p w14:paraId="47B641A2">
            <w:pPr>
              <w:widowControl/>
              <w:spacing w:line="360" w:lineRule="exact"/>
              <w:ind w:firstLine="600" w:firstLineChars="200"/>
              <w:jc w:val="center"/>
              <w:rPr>
                <w:rFonts w:hint="eastAsia" w:ascii="仿宋_GB2312" w:hAnsi="仿宋_GB2312" w:eastAsia="仿宋_GB2312" w:cs="仿宋_GB2312"/>
                <w:kern w:val="0"/>
                <w:sz w:val="30"/>
                <w:szCs w:val="30"/>
              </w:rPr>
            </w:pPr>
          </w:p>
        </w:tc>
        <w:tc>
          <w:tcPr>
            <w:tcW w:w="2752" w:type="dxa"/>
            <w:vMerge w:val="continue"/>
            <w:tcBorders>
              <w:left w:val="single" w:color="auto" w:sz="4" w:space="0"/>
              <w:bottom w:val="single" w:color="auto" w:sz="4" w:space="0"/>
              <w:right w:val="single" w:color="auto" w:sz="4" w:space="0"/>
            </w:tcBorders>
            <w:noWrap/>
            <w:vAlign w:val="center"/>
          </w:tcPr>
          <w:p w14:paraId="3600B407">
            <w:pPr>
              <w:widowControl/>
              <w:spacing w:line="360" w:lineRule="exact"/>
              <w:jc w:val="center"/>
              <w:textAlignment w:val="center"/>
              <w:rPr>
                <w:rFonts w:hint="eastAsia" w:ascii="仿宋_GB2312" w:hAnsi="仿宋_GB2312" w:eastAsia="仿宋_GB2312" w:cs="仿宋_GB2312"/>
                <w:color w:val="000000"/>
                <w:kern w:val="0"/>
                <w:sz w:val="30"/>
                <w:szCs w:val="30"/>
              </w:rPr>
            </w:pPr>
          </w:p>
        </w:tc>
        <w:tc>
          <w:tcPr>
            <w:tcW w:w="3260" w:type="dxa"/>
            <w:tcBorders>
              <w:top w:val="nil"/>
              <w:left w:val="nil"/>
              <w:bottom w:val="single" w:color="auto" w:sz="4" w:space="0"/>
              <w:right w:val="single" w:color="auto" w:sz="4" w:space="0"/>
            </w:tcBorders>
            <w:noWrap/>
            <w:vAlign w:val="center"/>
          </w:tcPr>
          <w:p w14:paraId="540731A8">
            <w:pPr>
              <w:widowControl/>
              <w:spacing w:line="360" w:lineRule="exact"/>
              <w:jc w:val="center"/>
              <w:textAlignment w:val="center"/>
              <w:rPr>
                <w:rFonts w:hint="eastAsia" w:ascii="仿宋_GB2312" w:hAnsi="仿宋_GB2312" w:eastAsia="仿宋_GB2312" w:cs="仿宋_GB2312"/>
                <w:color w:val="000000"/>
                <w:kern w:val="0"/>
                <w:sz w:val="30"/>
                <w:szCs w:val="30"/>
              </w:rPr>
            </w:pPr>
            <w:r>
              <w:rPr>
                <w:rFonts w:hint="eastAsia" w:ascii="仿宋_GB2312" w:hAnsi="仿宋_GB2312" w:eastAsia="仿宋_GB2312" w:cs="仿宋_GB2312"/>
                <w:color w:val="000000"/>
                <w:kern w:val="0"/>
                <w:sz w:val="30"/>
                <w:szCs w:val="30"/>
              </w:rPr>
              <w:t>金融服务与管理</w:t>
            </w:r>
          </w:p>
        </w:tc>
        <w:tc>
          <w:tcPr>
            <w:tcW w:w="1701" w:type="dxa"/>
            <w:tcBorders>
              <w:top w:val="nil"/>
              <w:left w:val="nil"/>
              <w:bottom w:val="single" w:color="auto" w:sz="4" w:space="0"/>
              <w:right w:val="single" w:color="auto" w:sz="4" w:space="0"/>
            </w:tcBorders>
            <w:noWrap/>
            <w:vAlign w:val="center"/>
          </w:tcPr>
          <w:p w14:paraId="3308CDF4">
            <w:pPr>
              <w:widowControl/>
              <w:spacing w:line="360" w:lineRule="exact"/>
              <w:jc w:val="center"/>
              <w:textAlignment w:val="center"/>
              <w:rPr>
                <w:rFonts w:hint="eastAsia" w:ascii="仿宋_GB2312" w:hAnsi="仿宋_GB2312" w:eastAsia="仿宋_GB2312" w:cs="仿宋_GB2312"/>
                <w:sz w:val="30"/>
                <w:szCs w:val="30"/>
              </w:rPr>
            </w:pPr>
            <w:r>
              <w:rPr>
                <w:rFonts w:hint="eastAsia" w:ascii="仿宋_GB2312" w:hAnsi="仿宋_GB2312" w:eastAsia="仿宋_GB2312" w:cs="仿宋_GB2312"/>
                <w:sz w:val="30"/>
                <w:szCs w:val="30"/>
              </w:rPr>
              <w:t>3500</w:t>
            </w:r>
          </w:p>
        </w:tc>
      </w:tr>
      <w:tr w14:paraId="25E13D3A">
        <w:tblPrEx>
          <w:tblCellMar>
            <w:top w:w="0" w:type="dxa"/>
            <w:left w:w="108" w:type="dxa"/>
            <w:bottom w:w="0" w:type="dxa"/>
            <w:right w:w="108" w:type="dxa"/>
          </w:tblCellMar>
        </w:tblPrEx>
        <w:trPr>
          <w:trHeight w:val="426" w:hRule="exact"/>
          <w:jc w:val="center"/>
        </w:trPr>
        <w:tc>
          <w:tcPr>
            <w:tcW w:w="1442" w:type="dxa"/>
            <w:vMerge w:val="restart"/>
            <w:tcBorders>
              <w:top w:val="single" w:color="auto" w:sz="4" w:space="0"/>
              <w:left w:val="single" w:color="auto" w:sz="4" w:space="0"/>
              <w:right w:val="single" w:color="auto" w:sz="4" w:space="0"/>
            </w:tcBorders>
            <w:vAlign w:val="center"/>
          </w:tcPr>
          <w:p w14:paraId="52D4DC9A">
            <w:pPr>
              <w:widowControl/>
              <w:spacing w:line="360" w:lineRule="exact"/>
              <w:jc w:val="center"/>
              <w:rPr>
                <w:rFonts w:hint="eastAsia" w:ascii="仿宋_GB2312" w:hAnsi="仿宋_GB2312" w:eastAsia="仿宋_GB2312" w:cs="仿宋_GB2312"/>
                <w:kern w:val="0"/>
                <w:sz w:val="30"/>
                <w:szCs w:val="30"/>
              </w:rPr>
            </w:pPr>
            <w:r>
              <w:rPr>
                <w:rFonts w:hint="eastAsia" w:ascii="仿宋_GB2312" w:hAnsi="仿宋_GB2312" w:eastAsia="仿宋_GB2312" w:cs="仿宋_GB2312"/>
                <w:kern w:val="0"/>
                <w:sz w:val="30"/>
                <w:szCs w:val="30"/>
              </w:rPr>
              <w:t>专业组四</w:t>
            </w:r>
          </w:p>
        </w:tc>
        <w:tc>
          <w:tcPr>
            <w:tcW w:w="2752" w:type="dxa"/>
            <w:vMerge w:val="restart"/>
            <w:tcBorders>
              <w:top w:val="single" w:color="auto" w:sz="4" w:space="0"/>
              <w:left w:val="nil"/>
              <w:right w:val="single" w:color="auto" w:sz="4" w:space="0"/>
            </w:tcBorders>
            <w:noWrap/>
            <w:vAlign w:val="center"/>
          </w:tcPr>
          <w:p w14:paraId="4B1FD716">
            <w:pPr>
              <w:widowControl/>
              <w:spacing w:line="360" w:lineRule="exact"/>
              <w:jc w:val="center"/>
              <w:textAlignment w:val="center"/>
              <w:rPr>
                <w:rFonts w:hint="eastAsia" w:ascii="仿宋_GB2312" w:hAnsi="仿宋_GB2312" w:eastAsia="仿宋_GB2312" w:cs="仿宋_GB2312"/>
                <w:color w:val="000000"/>
                <w:kern w:val="0"/>
                <w:sz w:val="30"/>
                <w:szCs w:val="30"/>
              </w:rPr>
            </w:pPr>
            <w:r>
              <w:rPr>
                <w:rFonts w:hint="eastAsia" w:ascii="仿宋_GB2312" w:hAnsi="仿宋_GB2312" w:eastAsia="仿宋_GB2312" w:cs="仿宋_GB2312"/>
                <w:color w:val="000000"/>
                <w:kern w:val="0"/>
                <w:sz w:val="30"/>
                <w:szCs w:val="30"/>
              </w:rPr>
              <w:t>旅游管理学院</w:t>
            </w:r>
          </w:p>
        </w:tc>
        <w:tc>
          <w:tcPr>
            <w:tcW w:w="3260" w:type="dxa"/>
            <w:tcBorders>
              <w:top w:val="nil"/>
              <w:left w:val="nil"/>
              <w:bottom w:val="single" w:color="auto" w:sz="4" w:space="0"/>
              <w:right w:val="single" w:color="auto" w:sz="4" w:space="0"/>
            </w:tcBorders>
            <w:noWrap/>
            <w:vAlign w:val="center"/>
          </w:tcPr>
          <w:p w14:paraId="1F8B4A59">
            <w:pPr>
              <w:widowControl/>
              <w:spacing w:line="360" w:lineRule="exact"/>
              <w:jc w:val="center"/>
              <w:textAlignment w:val="center"/>
              <w:rPr>
                <w:rFonts w:hint="eastAsia" w:ascii="仿宋_GB2312" w:hAnsi="仿宋_GB2312" w:eastAsia="仿宋_GB2312" w:cs="仿宋_GB2312"/>
                <w:color w:val="000000"/>
                <w:kern w:val="0"/>
                <w:sz w:val="30"/>
                <w:szCs w:val="30"/>
              </w:rPr>
            </w:pPr>
            <w:r>
              <w:rPr>
                <w:rFonts w:hint="eastAsia" w:ascii="仿宋_GB2312" w:hAnsi="仿宋_GB2312" w:eastAsia="仿宋_GB2312" w:cs="仿宋_GB2312"/>
                <w:color w:val="000000"/>
                <w:kern w:val="0"/>
                <w:sz w:val="30"/>
                <w:szCs w:val="30"/>
              </w:rPr>
              <w:t>旅游管理</w:t>
            </w:r>
          </w:p>
        </w:tc>
        <w:tc>
          <w:tcPr>
            <w:tcW w:w="1701" w:type="dxa"/>
            <w:tcBorders>
              <w:top w:val="nil"/>
              <w:left w:val="nil"/>
              <w:bottom w:val="single" w:color="auto" w:sz="4" w:space="0"/>
              <w:right w:val="single" w:color="auto" w:sz="4" w:space="0"/>
            </w:tcBorders>
            <w:noWrap/>
            <w:vAlign w:val="center"/>
          </w:tcPr>
          <w:p w14:paraId="3DB00CA0">
            <w:pPr>
              <w:widowControl/>
              <w:spacing w:line="360" w:lineRule="exact"/>
              <w:jc w:val="center"/>
              <w:textAlignment w:val="center"/>
              <w:rPr>
                <w:rFonts w:hint="eastAsia" w:ascii="仿宋_GB2312" w:hAnsi="仿宋_GB2312" w:eastAsia="仿宋_GB2312" w:cs="仿宋_GB2312"/>
                <w:sz w:val="30"/>
                <w:szCs w:val="30"/>
              </w:rPr>
            </w:pPr>
            <w:r>
              <w:rPr>
                <w:rFonts w:hint="eastAsia" w:ascii="仿宋_GB2312" w:hAnsi="仿宋_GB2312" w:eastAsia="仿宋_GB2312" w:cs="仿宋_GB2312"/>
                <w:sz w:val="30"/>
                <w:szCs w:val="30"/>
              </w:rPr>
              <w:t>4600</w:t>
            </w:r>
          </w:p>
        </w:tc>
      </w:tr>
      <w:tr w14:paraId="2DA5031D">
        <w:tblPrEx>
          <w:tblCellMar>
            <w:top w:w="0" w:type="dxa"/>
            <w:left w:w="108" w:type="dxa"/>
            <w:bottom w:w="0" w:type="dxa"/>
            <w:right w:w="108" w:type="dxa"/>
          </w:tblCellMar>
        </w:tblPrEx>
        <w:trPr>
          <w:trHeight w:val="455" w:hRule="exact"/>
          <w:jc w:val="center"/>
        </w:trPr>
        <w:tc>
          <w:tcPr>
            <w:tcW w:w="1442" w:type="dxa"/>
            <w:vMerge w:val="continue"/>
            <w:tcBorders>
              <w:left w:val="single" w:color="auto" w:sz="4" w:space="0"/>
              <w:right w:val="single" w:color="auto" w:sz="4" w:space="0"/>
            </w:tcBorders>
            <w:vAlign w:val="center"/>
          </w:tcPr>
          <w:p w14:paraId="4CF6B183">
            <w:pPr>
              <w:widowControl/>
              <w:spacing w:line="360" w:lineRule="exact"/>
              <w:ind w:firstLine="600" w:firstLineChars="200"/>
              <w:jc w:val="center"/>
              <w:rPr>
                <w:rFonts w:hint="eastAsia" w:ascii="仿宋_GB2312" w:hAnsi="仿宋_GB2312" w:eastAsia="仿宋_GB2312" w:cs="仿宋_GB2312"/>
                <w:kern w:val="0"/>
                <w:sz w:val="30"/>
                <w:szCs w:val="30"/>
              </w:rPr>
            </w:pPr>
          </w:p>
        </w:tc>
        <w:tc>
          <w:tcPr>
            <w:tcW w:w="2752" w:type="dxa"/>
            <w:vMerge w:val="continue"/>
            <w:tcBorders>
              <w:left w:val="nil"/>
              <w:right w:val="single" w:color="auto" w:sz="4" w:space="0"/>
            </w:tcBorders>
            <w:noWrap/>
            <w:vAlign w:val="center"/>
          </w:tcPr>
          <w:p w14:paraId="2F04C775">
            <w:pPr>
              <w:widowControl/>
              <w:spacing w:line="360" w:lineRule="exact"/>
              <w:jc w:val="center"/>
              <w:textAlignment w:val="center"/>
              <w:rPr>
                <w:rFonts w:hint="eastAsia" w:ascii="仿宋_GB2312" w:hAnsi="仿宋_GB2312" w:eastAsia="仿宋_GB2312" w:cs="仿宋_GB2312"/>
                <w:color w:val="000000"/>
                <w:kern w:val="0"/>
                <w:sz w:val="30"/>
                <w:szCs w:val="30"/>
              </w:rPr>
            </w:pPr>
          </w:p>
        </w:tc>
        <w:tc>
          <w:tcPr>
            <w:tcW w:w="3260" w:type="dxa"/>
            <w:tcBorders>
              <w:top w:val="nil"/>
              <w:left w:val="nil"/>
              <w:bottom w:val="single" w:color="auto" w:sz="4" w:space="0"/>
              <w:right w:val="single" w:color="auto" w:sz="4" w:space="0"/>
            </w:tcBorders>
            <w:noWrap/>
            <w:vAlign w:val="center"/>
          </w:tcPr>
          <w:p w14:paraId="65649750">
            <w:pPr>
              <w:widowControl/>
              <w:spacing w:line="360" w:lineRule="exact"/>
              <w:jc w:val="center"/>
              <w:textAlignment w:val="center"/>
              <w:rPr>
                <w:rFonts w:hint="eastAsia" w:ascii="仿宋_GB2312" w:hAnsi="仿宋_GB2312" w:eastAsia="仿宋_GB2312" w:cs="仿宋_GB2312"/>
                <w:color w:val="000000"/>
                <w:kern w:val="0"/>
                <w:sz w:val="30"/>
                <w:szCs w:val="30"/>
              </w:rPr>
            </w:pPr>
            <w:r>
              <w:rPr>
                <w:rFonts w:hint="eastAsia" w:ascii="仿宋_GB2312" w:hAnsi="仿宋_GB2312" w:eastAsia="仿宋_GB2312" w:cs="仿宋_GB2312"/>
                <w:color w:val="000000"/>
                <w:kern w:val="0"/>
                <w:sz w:val="30"/>
                <w:szCs w:val="30"/>
              </w:rPr>
              <w:t>酒店管理与数字化运营</w:t>
            </w:r>
          </w:p>
        </w:tc>
        <w:tc>
          <w:tcPr>
            <w:tcW w:w="1701" w:type="dxa"/>
            <w:tcBorders>
              <w:top w:val="nil"/>
              <w:left w:val="nil"/>
              <w:bottom w:val="single" w:color="auto" w:sz="4" w:space="0"/>
              <w:right w:val="single" w:color="auto" w:sz="4" w:space="0"/>
            </w:tcBorders>
            <w:noWrap/>
            <w:vAlign w:val="center"/>
          </w:tcPr>
          <w:p w14:paraId="5F0DC0A9">
            <w:pPr>
              <w:widowControl/>
              <w:spacing w:line="360" w:lineRule="exact"/>
              <w:jc w:val="center"/>
              <w:textAlignment w:val="center"/>
              <w:rPr>
                <w:rFonts w:hint="eastAsia" w:ascii="仿宋_GB2312" w:hAnsi="仿宋_GB2312" w:eastAsia="仿宋_GB2312" w:cs="仿宋_GB2312"/>
                <w:sz w:val="30"/>
                <w:szCs w:val="30"/>
              </w:rPr>
            </w:pPr>
            <w:r>
              <w:rPr>
                <w:rFonts w:hint="eastAsia" w:ascii="仿宋_GB2312" w:hAnsi="仿宋_GB2312" w:eastAsia="仿宋_GB2312" w:cs="仿宋_GB2312"/>
                <w:sz w:val="30"/>
                <w:szCs w:val="30"/>
              </w:rPr>
              <w:t>4600</w:t>
            </w:r>
          </w:p>
        </w:tc>
      </w:tr>
      <w:tr w14:paraId="4CAFF63B">
        <w:tblPrEx>
          <w:tblCellMar>
            <w:top w:w="0" w:type="dxa"/>
            <w:left w:w="108" w:type="dxa"/>
            <w:bottom w:w="0" w:type="dxa"/>
            <w:right w:w="108" w:type="dxa"/>
          </w:tblCellMar>
        </w:tblPrEx>
        <w:trPr>
          <w:trHeight w:val="453" w:hRule="exact"/>
          <w:jc w:val="center"/>
        </w:trPr>
        <w:tc>
          <w:tcPr>
            <w:tcW w:w="1442" w:type="dxa"/>
            <w:vMerge w:val="continue"/>
            <w:tcBorders>
              <w:left w:val="single" w:color="auto" w:sz="4" w:space="0"/>
              <w:right w:val="single" w:color="auto" w:sz="4" w:space="0"/>
            </w:tcBorders>
            <w:vAlign w:val="center"/>
          </w:tcPr>
          <w:p w14:paraId="2E7542B5">
            <w:pPr>
              <w:widowControl/>
              <w:spacing w:line="360" w:lineRule="exact"/>
              <w:jc w:val="center"/>
              <w:rPr>
                <w:rFonts w:hint="eastAsia" w:ascii="仿宋_GB2312" w:hAnsi="仿宋_GB2312" w:eastAsia="仿宋_GB2312" w:cs="仿宋_GB2312"/>
                <w:kern w:val="0"/>
                <w:sz w:val="30"/>
                <w:szCs w:val="30"/>
              </w:rPr>
            </w:pPr>
          </w:p>
        </w:tc>
        <w:tc>
          <w:tcPr>
            <w:tcW w:w="2752" w:type="dxa"/>
            <w:vMerge w:val="continue"/>
            <w:tcBorders>
              <w:left w:val="nil"/>
              <w:right w:val="single" w:color="auto" w:sz="4" w:space="0"/>
            </w:tcBorders>
            <w:noWrap/>
            <w:vAlign w:val="center"/>
          </w:tcPr>
          <w:p w14:paraId="638CE50E">
            <w:pPr>
              <w:widowControl/>
              <w:spacing w:line="360" w:lineRule="exact"/>
              <w:jc w:val="center"/>
              <w:textAlignment w:val="center"/>
              <w:rPr>
                <w:rFonts w:hint="eastAsia" w:ascii="仿宋_GB2312" w:hAnsi="仿宋_GB2312" w:eastAsia="仿宋_GB2312" w:cs="仿宋_GB2312"/>
                <w:color w:val="000000"/>
                <w:kern w:val="0"/>
                <w:sz w:val="30"/>
                <w:szCs w:val="30"/>
              </w:rPr>
            </w:pPr>
          </w:p>
        </w:tc>
        <w:tc>
          <w:tcPr>
            <w:tcW w:w="3260" w:type="dxa"/>
            <w:tcBorders>
              <w:top w:val="nil"/>
              <w:left w:val="nil"/>
              <w:bottom w:val="single" w:color="auto" w:sz="4" w:space="0"/>
              <w:right w:val="single" w:color="auto" w:sz="4" w:space="0"/>
            </w:tcBorders>
            <w:noWrap/>
            <w:vAlign w:val="center"/>
          </w:tcPr>
          <w:p w14:paraId="2F3C38FB">
            <w:pPr>
              <w:widowControl/>
              <w:spacing w:line="360" w:lineRule="exact"/>
              <w:jc w:val="center"/>
              <w:textAlignment w:val="center"/>
              <w:rPr>
                <w:rFonts w:hint="eastAsia" w:ascii="仿宋_GB2312" w:hAnsi="仿宋_GB2312" w:eastAsia="仿宋_GB2312" w:cs="仿宋_GB2312"/>
                <w:color w:val="000000"/>
                <w:kern w:val="0"/>
                <w:sz w:val="30"/>
                <w:szCs w:val="30"/>
              </w:rPr>
            </w:pPr>
            <w:r>
              <w:rPr>
                <w:rFonts w:hint="eastAsia" w:ascii="仿宋_GB2312" w:hAnsi="仿宋_GB2312" w:eastAsia="仿宋_GB2312" w:cs="仿宋_GB2312"/>
                <w:color w:val="000000"/>
                <w:kern w:val="0"/>
                <w:sz w:val="30"/>
                <w:szCs w:val="30"/>
              </w:rPr>
              <w:t>商务英语</w:t>
            </w:r>
          </w:p>
        </w:tc>
        <w:tc>
          <w:tcPr>
            <w:tcW w:w="1701" w:type="dxa"/>
            <w:tcBorders>
              <w:top w:val="nil"/>
              <w:left w:val="nil"/>
              <w:bottom w:val="single" w:color="auto" w:sz="4" w:space="0"/>
              <w:right w:val="single" w:color="auto" w:sz="4" w:space="0"/>
            </w:tcBorders>
            <w:noWrap/>
            <w:vAlign w:val="center"/>
          </w:tcPr>
          <w:p w14:paraId="3462C86E">
            <w:pPr>
              <w:widowControl/>
              <w:spacing w:line="360" w:lineRule="exact"/>
              <w:jc w:val="center"/>
              <w:textAlignment w:val="center"/>
              <w:rPr>
                <w:rFonts w:hint="eastAsia" w:ascii="仿宋_GB2312" w:hAnsi="仿宋_GB2312" w:eastAsia="仿宋_GB2312" w:cs="仿宋_GB2312"/>
                <w:sz w:val="30"/>
                <w:szCs w:val="30"/>
              </w:rPr>
            </w:pPr>
            <w:r>
              <w:rPr>
                <w:rFonts w:hint="eastAsia" w:ascii="仿宋_GB2312" w:hAnsi="仿宋_GB2312" w:eastAsia="仿宋_GB2312" w:cs="仿宋_GB2312"/>
                <w:sz w:val="30"/>
                <w:szCs w:val="30"/>
              </w:rPr>
              <w:t>3200</w:t>
            </w:r>
          </w:p>
        </w:tc>
      </w:tr>
      <w:tr w14:paraId="18AA123E">
        <w:tblPrEx>
          <w:tblCellMar>
            <w:top w:w="0" w:type="dxa"/>
            <w:left w:w="108" w:type="dxa"/>
            <w:bottom w:w="0" w:type="dxa"/>
            <w:right w:w="108" w:type="dxa"/>
          </w:tblCellMar>
        </w:tblPrEx>
        <w:trPr>
          <w:trHeight w:val="471" w:hRule="exact"/>
          <w:jc w:val="center"/>
        </w:trPr>
        <w:tc>
          <w:tcPr>
            <w:tcW w:w="1442" w:type="dxa"/>
            <w:vMerge w:val="continue"/>
            <w:tcBorders>
              <w:left w:val="single" w:color="auto" w:sz="4" w:space="0"/>
              <w:right w:val="single" w:color="auto" w:sz="4" w:space="0"/>
            </w:tcBorders>
            <w:vAlign w:val="center"/>
          </w:tcPr>
          <w:p w14:paraId="15862036">
            <w:pPr>
              <w:widowControl/>
              <w:spacing w:line="360" w:lineRule="exact"/>
              <w:ind w:firstLine="600" w:firstLineChars="200"/>
              <w:jc w:val="center"/>
              <w:rPr>
                <w:rFonts w:hint="eastAsia" w:ascii="仿宋_GB2312" w:hAnsi="仿宋_GB2312" w:eastAsia="仿宋_GB2312" w:cs="仿宋_GB2312"/>
                <w:kern w:val="0"/>
                <w:sz w:val="30"/>
                <w:szCs w:val="30"/>
              </w:rPr>
            </w:pPr>
          </w:p>
        </w:tc>
        <w:tc>
          <w:tcPr>
            <w:tcW w:w="2752" w:type="dxa"/>
            <w:vMerge w:val="continue"/>
            <w:tcBorders>
              <w:left w:val="nil"/>
              <w:right w:val="single" w:color="auto" w:sz="4" w:space="0"/>
            </w:tcBorders>
            <w:noWrap/>
            <w:vAlign w:val="center"/>
          </w:tcPr>
          <w:p w14:paraId="558E64DF">
            <w:pPr>
              <w:widowControl/>
              <w:spacing w:line="360" w:lineRule="exact"/>
              <w:jc w:val="center"/>
              <w:textAlignment w:val="center"/>
              <w:rPr>
                <w:rFonts w:hint="eastAsia" w:ascii="仿宋_GB2312" w:hAnsi="仿宋_GB2312" w:eastAsia="仿宋_GB2312" w:cs="仿宋_GB2312"/>
                <w:color w:val="000000"/>
                <w:kern w:val="0"/>
                <w:sz w:val="30"/>
                <w:szCs w:val="30"/>
              </w:rPr>
            </w:pPr>
          </w:p>
        </w:tc>
        <w:tc>
          <w:tcPr>
            <w:tcW w:w="3260" w:type="dxa"/>
            <w:tcBorders>
              <w:top w:val="nil"/>
              <w:left w:val="nil"/>
              <w:bottom w:val="single" w:color="auto" w:sz="4" w:space="0"/>
              <w:right w:val="single" w:color="auto" w:sz="4" w:space="0"/>
            </w:tcBorders>
            <w:noWrap/>
            <w:vAlign w:val="center"/>
          </w:tcPr>
          <w:p w14:paraId="52C0B420">
            <w:pPr>
              <w:widowControl/>
              <w:spacing w:line="360" w:lineRule="exact"/>
              <w:jc w:val="center"/>
              <w:textAlignment w:val="center"/>
              <w:rPr>
                <w:rFonts w:hint="eastAsia" w:ascii="仿宋_GB2312" w:hAnsi="仿宋_GB2312" w:eastAsia="仿宋_GB2312" w:cs="仿宋_GB2312"/>
                <w:color w:val="000000"/>
                <w:kern w:val="0"/>
                <w:sz w:val="30"/>
                <w:szCs w:val="30"/>
              </w:rPr>
            </w:pPr>
            <w:r>
              <w:rPr>
                <w:rFonts w:hint="eastAsia" w:ascii="仿宋_GB2312" w:hAnsi="仿宋_GB2312" w:eastAsia="仿宋_GB2312" w:cs="仿宋_GB2312"/>
                <w:color w:val="000000"/>
                <w:kern w:val="0"/>
                <w:sz w:val="30"/>
                <w:szCs w:val="30"/>
              </w:rPr>
              <w:t>智慧景区开发与管理</w:t>
            </w:r>
          </w:p>
        </w:tc>
        <w:tc>
          <w:tcPr>
            <w:tcW w:w="1701" w:type="dxa"/>
            <w:tcBorders>
              <w:top w:val="nil"/>
              <w:left w:val="nil"/>
              <w:bottom w:val="single" w:color="auto" w:sz="4" w:space="0"/>
              <w:right w:val="single" w:color="auto" w:sz="4" w:space="0"/>
            </w:tcBorders>
            <w:noWrap/>
            <w:vAlign w:val="center"/>
          </w:tcPr>
          <w:p w14:paraId="45CB05CB">
            <w:pPr>
              <w:widowControl/>
              <w:spacing w:line="360" w:lineRule="exact"/>
              <w:jc w:val="center"/>
              <w:textAlignment w:val="center"/>
              <w:rPr>
                <w:rFonts w:hint="eastAsia" w:ascii="仿宋_GB2312" w:hAnsi="仿宋_GB2312" w:eastAsia="仿宋_GB2312" w:cs="仿宋_GB2312"/>
                <w:sz w:val="30"/>
                <w:szCs w:val="30"/>
              </w:rPr>
            </w:pPr>
            <w:r>
              <w:rPr>
                <w:rFonts w:hint="eastAsia" w:ascii="仿宋_GB2312" w:hAnsi="仿宋_GB2312" w:eastAsia="仿宋_GB2312" w:cs="仿宋_GB2312"/>
                <w:sz w:val="30"/>
                <w:szCs w:val="30"/>
              </w:rPr>
              <w:t>4600</w:t>
            </w:r>
          </w:p>
        </w:tc>
      </w:tr>
      <w:tr w14:paraId="2431DD4D">
        <w:tblPrEx>
          <w:tblCellMar>
            <w:top w:w="0" w:type="dxa"/>
            <w:left w:w="108" w:type="dxa"/>
            <w:bottom w:w="0" w:type="dxa"/>
            <w:right w:w="108" w:type="dxa"/>
          </w:tblCellMar>
        </w:tblPrEx>
        <w:trPr>
          <w:trHeight w:val="436" w:hRule="exact"/>
          <w:jc w:val="center"/>
        </w:trPr>
        <w:tc>
          <w:tcPr>
            <w:tcW w:w="1442" w:type="dxa"/>
            <w:vMerge w:val="continue"/>
            <w:tcBorders>
              <w:left w:val="single" w:color="auto" w:sz="4" w:space="0"/>
              <w:bottom w:val="single" w:color="auto" w:sz="4" w:space="0"/>
              <w:right w:val="single" w:color="auto" w:sz="4" w:space="0"/>
            </w:tcBorders>
            <w:vAlign w:val="center"/>
          </w:tcPr>
          <w:p w14:paraId="4F8A91AA">
            <w:pPr>
              <w:widowControl/>
              <w:spacing w:line="360" w:lineRule="exact"/>
              <w:ind w:firstLine="600" w:firstLineChars="200"/>
              <w:jc w:val="center"/>
              <w:rPr>
                <w:rFonts w:hint="eastAsia" w:ascii="仿宋_GB2312" w:hAnsi="仿宋_GB2312" w:eastAsia="仿宋_GB2312" w:cs="仿宋_GB2312"/>
                <w:kern w:val="0"/>
                <w:sz w:val="30"/>
                <w:szCs w:val="30"/>
              </w:rPr>
            </w:pPr>
          </w:p>
        </w:tc>
        <w:tc>
          <w:tcPr>
            <w:tcW w:w="2752" w:type="dxa"/>
            <w:vMerge w:val="continue"/>
            <w:tcBorders>
              <w:left w:val="nil"/>
              <w:bottom w:val="single" w:color="auto" w:sz="4" w:space="0"/>
              <w:right w:val="single" w:color="auto" w:sz="4" w:space="0"/>
            </w:tcBorders>
            <w:noWrap/>
            <w:vAlign w:val="center"/>
          </w:tcPr>
          <w:p w14:paraId="120308FE">
            <w:pPr>
              <w:widowControl/>
              <w:spacing w:line="360" w:lineRule="exact"/>
              <w:jc w:val="center"/>
              <w:textAlignment w:val="center"/>
              <w:rPr>
                <w:rFonts w:hint="eastAsia" w:ascii="仿宋_GB2312" w:hAnsi="仿宋_GB2312" w:eastAsia="仿宋_GB2312" w:cs="仿宋_GB2312"/>
                <w:color w:val="000000"/>
                <w:kern w:val="0"/>
                <w:sz w:val="30"/>
                <w:szCs w:val="30"/>
              </w:rPr>
            </w:pPr>
          </w:p>
        </w:tc>
        <w:tc>
          <w:tcPr>
            <w:tcW w:w="3260" w:type="dxa"/>
            <w:tcBorders>
              <w:top w:val="nil"/>
              <w:left w:val="nil"/>
              <w:bottom w:val="single" w:color="auto" w:sz="4" w:space="0"/>
              <w:right w:val="single" w:color="auto" w:sz="4" w:space="0"/>
            </w:tcBorders>
            <w:noWrap/>
            <w:vAlign w:val="center"/>
          </w:tcPr>
          <w:p w14:paraId="197CB0C6">
            <w:pPr>
              <w:widowControl/>
              <w:spacing w:line="360" w:lineRule="exact"/>
              <w:jc w:val="center"/>
              <w:textAlignment w:val="center"/>
              <w:rPr>
                <w:rFonts w:hint="eastAsia" w:ascii="仿宋_GB2312" w:hAnsi="仿宋_GB2312" w:eastAsia="仿宋_GB2312" w:cs="仿宋_GB2312"/>
                <w:color w:val="000000"/>
                <w:kern w:val="0"/>
                <w:sz w:val="30"/>
                <w:szCs w:val="30"/>
              </w:rPr>
            </w:pPr>
            <w:r>
              <w:rPr>
                <w:rFonts w:hint="eastAsia" w:ascii="仿宋_GB2312" w:hAnsi="仿宋_GB2312" w:eastAsia="仿宋_GB2312" w:cs="仿宋_GB2312"/>
                <w:color w:val="000000"/>
                <w:kern w:val="0"/>
                <w:sz w:val="30"/>
                <w:szCs w:val="30"/>
              </w:rPr>
              <w:t>空中乘务</w:t>
            </w:r>
          </w:p>
        </w:tc>
        <w:tc>
          <w:tcPr>
            <w:tcW w:w="1701" w:type="dxa"/>
            <w:tcBorders>
              <w:top w:val="nil"/>
              <w:left w:val="nil"/>
              <w:bottom w:val="single" w:color="auto" w:sz="4" w:space="0"/>
              <w:right w:val="single" w:color="auto" w:sz="4" w:space="0"/>
            </w:tcBorders>
            <w:noWrap/>
            <w:vAlign w:val="center"/>
          </w:tcPr>
          <w:p w14:paraId="5F964DC1">
            <w:pPr>
              <w:widowControl/>
              <w:spacing w:line="360" w:lineRule="exact"/>
              <w:jc w:val="center"/>
              <w:textAlignment w:val="center"/>
              <w:rPr>
                <w:rFonts w:hint="eastAsia" w:ascii="仿宋_GB2312" w:hAnsi="仿宋_GB2312" w:eastAsia="仿宋_GB2312" w:cs="仿宋_GB2312"/>
                <w:sz w:val="30"/>
                <w:szCs w:val="30"/>
              </w:rPr>
            </w:pPr>
            <w:r>
              <w:rPr>
                <w:rFonts w:hint="eastAsia" w:ascii="仿宋_GB2312" w:hAnsi="仿宋_GB2312" w:eastAsia="仿宋_GB2312" w:cs="仿宋_GB2312"/>
                <w:sz w:val="30"/>
                <w:szCs w:val="30"/>
              </w:rPr>
              <w:t>8000</w:t>
            </w:r>
          </w:p>
        </w:tc>
      </w:tr>
      <w:tr w14:paraId="2F44C601">
        <w:tblPrEx>
          <w:tblCellMar>
            <w:top w:w="0" w:type="dxa"/>
            <w:left w:w="108" w:type="dxa"/>
            <w:bottom w:w="0" w:type="dxa"/>
            <w:right w:w="108" w:type="dxa"/>
          </w:tblCellMar>
        </w:tblPrEx>
        <w:trPr>
          <w:trHeight w:val="426" w:hRule="exact"/>
          <w:jc w:val="center"/>
        </w:trPr>
        <w:tc>
          <w:tcPr>
            <w:tcW w:w="1442" w:type="dxa"/>
            <w:vMerge w:val="restart"/>
            <w:tcBorders>
              <w:top w:val="single" w:color="auto" w:sz="4" w:space="0"/>
              <w:left w:val="single" w:color="auto" w:sz="4" w:space="0"/>
              <w:right w:val="single" w:color="auto" w:sz="4" w:space="0"/>
            </w:tcBorders>
            <w:vAlign w:val="center"/>
          </w:tcPr>
          <w:p w14:paraId="280393F0">
            <w:pPr>
              <w:widowControl/>
              <w:spacing w:line="360" w:lineRule="exact"/>
              <w:jc w:val="center"/>
              <w:rPr>
                <w:rFonts w:hint="eastAsia" w:ascii="仿宋_GB2312" w:hAnsi="仿宋_GB2312" w:eastAsia="仿宋_GB2312" w:cs="仿宋_GB2312"/>
                <w:kern w:val="0"/>
                <w:sz w:val="30"/>
                <w:szCs w:val="30"/>
              </w:rPr>
            </w:pPr>
            <w:r>
              <w:rPr>
                <w:rFonts w:hint="eastAsia" w:ascii="仿宋_GB2312" w:hAnsi="仿宋_GB2312" w:eastAsia="仿宋_GB2312" w:cs="仿宋_GB2312"/>
                <w:kern w:val="0"/>
                <w:sz w:val="30"/>
                <w:szCs w:val="30"/>
              </w:rPr>
              <w:t>专业组五</w:t>
            </w:r>
          </w:p>
        </w:tc>
        <w:tc>
          <w:tcPr>
            <w:tcW w:w="2752" w:type="dxa"/>
            <w:vMerge w:val="restart"/>
            <w:tcBorders>
              <w:top w:val="single" w:color="auto" w:sz="4" w:space="0"/>
              <w:left w:val="nil"/>
              <w:right w:val="single" w:color="auto" w:sz="4" w:space="0"/>
            </w:tcBorders>
            <w:noWrap/>
            <w:vAlign w:val="center"/>
          </w:tcPr>
          <w:p w14:paraId="2C4F242C">
            <w:pPr>
              <w:widowControl/>
              <w:spacing w:line="360" w:lineRule="exact"/>
              <w:jc w:val="center"/>
              <w:textAlignment w:val="center"/>
              <w:rPr>
                <w:rFonts w:hint="eastAsia" w:ascii="仿宋_GB2312" w:hAnsi="仿宋_GB2312" w:eastAsia="仿宋_GB2312" w:cs="仿宋_GB2312"/>
                <w:color w:val="000000"/>
                <w:kern w:val="0"/>
                <w:sz w:val="30"/>
                <w:szCs w:val="30"/>
              </w:rPr>
            </w:pPr>
            <w:r>
              <w:rPr>
                <w:rFonts w:hint="eastAsia" w:ascii="仿宋_GB2312" w:hAnsi="仿宋_GB2312" w:eastAsia="仿宋_GB2312" w:cs="仿宋_GB2312"/>
                <w:color w:val="000000"/>
                <w:kern w:val="0"/>
                <w:sz w:val="30"/>
                <w:szCs w:val="30"/>
              </w:rPr>
              <w:t>商务信息技术学院</w:t>
            </w:r>
          </w:p>
        </w:tc>
        <w:tc>
          <w:tcPr>
            <w:tcW w:w="3260" w:type="dxa"/>
            <w:tcBorders>
              <w:top w:val="single" w:color="auto" w:sz="4" w:space="0"/>
              <w:left w:val="nil"/>
              <w:bottom w:val="single" w:color="auto" w:sz="4" w:space="0"/>
              <w:right w:val="single" w:color="auto" w:sz="4" w:space="0"/>
            </w:tcBorders>
            <w:noWrap/>
            <w:vAlign w:val="center"/>
          </w:tcPr>
          <w:p w14:paraId="732B787C">
            <w:pPr>
              <w:widowControl/>
              <w:spacing w:line="360" w:lineRule="exact"/>
              <w:jc w:val="center"/>
              <w:textAlignment w:val="center"/>
              <w:rPr>
                <w:rFonts w:hint="eastAsia" w:ascii="仿宋_GB2312" w:hAnsi="仿宋_GB2312" w:eastAsia="仿宋_GB2312" w:cs="仿宋_GB2312"/>
                <w:color w:val="000000"/>
                <w:kern w:val="0"/>
                <w:sz w:val="30"/>
                <w:szCs w:val="30"/>
              </w:rPr>
            </w:pPr>
            <w:r>
              <w:rPr>
                <w:rFonts w:hint="eastAsia" w:ascii="仿宋_GB2312" w:hAnsi="仿宋_GB2312" w:eastAsia="仿宋_GB2312" w:cs="仿宋_GB2312"/>
                <w:color w:val="000000"/>
                <w:kern w:val="0"/>
                <w:sz w:val="30"/>
                <w:szCs w:val="30"/>
              </w:rPr>
              <w:t>软件技术</w:t>
            </w:r>
          </w:p>
        </w:tc>
        <w:tc>
          <w:tcPr>
            <w:tcW w:w="1701" w:type="dxa"/>
            <w:tcBorders>
              <w:top w:val="single" w:color="auto" w:sz="4" w:space="0"/>
              <w:left w:val="nil"/>
              <w:bottom w:val="single" w:color="auto" w:sz="4" w:space="0"/>
              <w:right w:val="single" w:color="auto" w:sz="4" w:space="0"/>
            </w:tcBorders>
            <w:noWrap/>
            <w:vAlign w:val="center"/>
          </w:tcPr>
          <w:p w14:paraId="65BA1858">
            <w:pPr>
              <w:widowControl/>
              <w:spacing w:line="360" w:lineRule="exact"/>
              <w:jc w:val="center"/>
              <w:textAlignment w:val="center"/>
              <w:rPr>
                <w:rFonts w:hint="eastAsia" w:ascii="仿宋_GB2312" w:hAnsi="仿宋_GB2312" w:eastAsia="仿宋_GB2312" w:cs="仿宋_GB2312"/>
                <w:sz w:val="30"/>
                <w:szCs w:val="30"/>
              </w:rPr>
            </w:pPr>
            <w:r>
              <w:rPr>
                <w:rFonts w:hint="eastAsia" w:ascii="仿宋_GB2312" w:hAnsi="仿宋_GB2312" w:eastAsia="仿宋_GB2312" w:cs="仿宋_GB2312"/>
                <w:sz w:val="30"/>
                <w:szCs w:val="30"/>
              </w:rPr>
              <w:t>7800</w:t>
            </w:r>
          </w:p>
        </w:tc>
      </w:tr>
      <w:tr w14:paraId="2CB1522A">
        <w:tblPrEx>
          <w:tblCellMar>
            <w:top w:w="0" w:type="dxa"/>
            <w:left w:w="108" w:type="dxa"/>
            <w:bottom w:w="0" w:type="dxa"/>
            <w:right w:w="108" w:type="dxa"/>
          </w:tblCellMar>
        </w:tblPrEx>
        <w:trPr>
          <w:trHeight w:val="405" w:hRule="exact"/>
          <w:jc w:val="center"/>
        </w:trPr>
        <w:tc>
          <w:tcPr>
            <w:tcW w:w="1442" w:type="dxa"/>
            <w:vMerge w:val="continue"/>
            <w:tcBorders>
              <w:left w:val="single" w:color="auto" w:sz="4" w:space="0"/>
              <w:right w:val="single" w:color="auto" w:sz="4" w:space="0"/>
            </w:tcBorders>
            <w:vAlign w:val="center"/>
          </w:tcPr>
          <w:p w14:paraId="7C6CECA0">
            <w:pPr>
              <w:widowControl/>
              <w:spacing w:line="360" w:lineRule="exact"/>
              <w:ind w:firstLine="600" w:firstLineChars="200"/>
              <w:jc w:val="center"/>
              <w:rPr>
                <w:rFonts w:hint="eastAsia" w:ascii="仿宋_GB2312" w:hAnsi="仿宋_GB2312" w:eastAsia="仿宋_GB2312" w:cs="仿宋_GB2312"/>
                <w:kern w:val="0"/>
                <w:sz w:val="30"/>
                <w:szCs w:val="30"/>
              </w:rPr>
            </w:pPr>
          </w:p>
        </w:tc>
        <w:tc>
          <w:tcPr>
            <w:tcW w:w="2752" w:type="dxa"/>
            <w:vMerge w:val="continue"/>
            <w:tcBorders>
              <w:left w:val="nil"/>
              <w:right w:val="single" w:color="auto" w:sz="4" w:space="0"/>
            </w:tcBorders>
            <w:noWrap/>
            <w:vAlign w:val="center"/>
          </w:tcPr>
          <w:p w14:paraId="79BEB546">
            <w:pPr>
              <w:widowControl/>
              <w:spacing w:line="360" w:lineRule="exact"/>
              <w:jc w:val="center"/>
              <w:textAlignment w:val="center"/>
              <w:rPr>
                <w:rFonts w:hint="eastAsia" w:ascii="仿宋_GB2312" w:hAnsi="仿宋_GB2312" w:eastAsia="仿宋_GB2312" w:cs="仿宋_GB2312"/>
                <w:color w:val="000000"/>
                <w:kern w:val="0"/>
                <w:sz w:val="30"/>
                <w:szCs w:val="30"/>
              </w:rPr>
            </w:pPr>
          </w:p>
        </w:tc>
        <w:tc>
          <w:tcPr>
            <w:tcW w:w="3260" w:type="dxa"/>
            <w:tcBorders>
              <w:top w:val="nil"/>
              <w:left w:val="nil"/>
              <w:bottom w:val="single" w:color="auto" w:sz="4" w:space="0"/>
              <w:right w:val="single" w:color="auto" w:sz="4" w:space="0"/>
            </w:tcBorders>
            <w:noWrap/>
            <w:vAlign w:val="center"/>
          </w:tcPr>
          <w:p w14:paraId="243D4813">
            <w:pPr>
              <w:widowControl/>
              <w:spacing w:line="360" w:lineRule="exact"/>
              <w:jc w:val="center"/>
              <w:textAlignment w:val="center"/>
              <w:rPr>
                <w:rFonts w:hint="eastAsia" w:ascii="仿宋_GB2312" w:hAnsi="仿宋_GB2312" w:eastAsia="仿宋_GB2312" w:cs="仿宋_GB2312"/>
                <w:color w:val="000000"/>
                <w:kern w:val="0"/>
                <w:sz w:val="30"/>
                <w:szCs w:val="30"/>
              </w:rPr>
            </w:pPr>
            <w:r>
              <w:rPr>
                <w:rFonts w:hint="eastAsia" w:ascii="仿宋_GB2312" w:hAnsi="仿宋_GB2312" w:eastAsia="仿宋_GB2312" w:cs="仿宋_GB2312"/>
                <w:color w:val="000000"/>
                <w:kern w:val="0"/>
                <w:sz w:val="30"/>
                <w:szCs w:val="30"/>
              </w:rPr>
              <w:t>计算机网络技术</w:t>
            </w:r>
          </w:p>
        </w:tc>
        <w:tc>
          <w:tcPr>
            <w:tcW w:w="1701" w:type="dxa"/>
            <w:tcBorders>
              <w:top w:val="nil"/>
              <w:left w:val="nil"/>
              <w:bottom w:val="single" w:color="auto" w:sz="4" w:space="0"/>
              <w:right w:val="single" w:color="auto" w:sz="4" w:space="0"/>
            </w:tcBorders>
            <w:noWrap/>
            <w:vAlign w:val="center"/>
          </w:tcPr>
          <w:p w14:paraId="5E02CE4D">
            <w:pPr>
              <w:widowControl/>
              <w:spacing w:line="360" w:lineRule="exact"/>
              <w:jc w:val="center"/>
              <w:textAlignment w:val="center"/>
              <w:rPr>
                <w:rFonts w:hint="eastAsia" w:ascii="仿宋_GB2312" w:hAnsi="仿宋_GB2312" w:eastAsia="仿宋_GB2312" w:cs="仿宋_GB2312"/>
                <w:sz w:val="30"/>
                <w:szCs w:val="30"/>
              </w:rPr>
            </w:pPr>
            <w:r>
              <w:rPr>
                <w:rFonts w:hint="eastAsia" w:ascii="仿宋_GB2312" w:hAnsi="仿宋_GB2312" w:eastAsia="仿宋_GB2312" w:cs="仿宋_GB2312"/>
                <w:sz w:val="30"/>
                <w:szCs w:val="30"/>
              </w:rPr>
              <w:t>5000</w:t>
            </w:r>
          </w:p>
        </w:tc>
      </w:tr>
      <w:tr w14:paraId="69190B07">
        <w:tblPrEx>
          <w:tblCellMar>
            <w:top w:w="0" w:type="dxa"/>
            <w:left w:w="108" w:type="dxa"/>
            <w:bottom w:w="0" w:type="dxa"/>
            <w:right w:w="108" w:type="dxa"/>
          </w:tblCellMar>
        </w:tblPrEx>
        <w:trPr>
          <w:trHeight w:val="404" w:hRule="exact"/>
          <w:jc w:val="center"/>
        </w:trPr>
        <w:tc>
          <w:tcPr>
            <w:tcW w:w="1442" w:type="dxa"/>
            <w:vMerge w:val="continue"/>
            <w:tcBorders>
              <w:left w:val="single" w:color="auto" w:sz="4" w:space="0"/>
              <w:right w:val="single" w:color="auto" w:sz="4" w:space="0"/>
            </w:tcBorders>
            <w:noWrap/>
            <w:vAlign w:val="center"/>
          </w:tcPr>
          <w:p w14:paraId="29A9E835">
            <w:pPr>
              <w:widowControl/>
              <w:spacing w:line="360" w:lineRule="exact"/>
              <w:ind w:firstLine="600" w:firstLineChars="200"/>
              <w:jc w:val="center"/>
              <w:textAlignment w:val="center"/>
              <w:rPr>
                <w:rFonts w:hint="eastAsia" w:ascii="仿宋_GB2312" w:hAnsi="仿宋_GB2312" w:eastAsia="仿宋_GB2312" w:cs="仿宋_GB2312"/>
                <w:kern w:val="0"/>
                <w:sz w:val="30"/>
                <w:szCs w:val="30"/>
              </w:rPr>
            </w:pPr>
          </w:p>
        </w:tc>
        <w:tc>
          <w:tcPr>
            <w:tcW w:w="2752" w:type="dxa"/>
            <w:vMerge w:val="continue"/>
            <w:tcBorders>
              <w:left w:val="nil"/>
              <w:right w:val="single" w:color="auto" w:sz="4" w:space="0"/>
            </w:tcBorders>
            <w:noWrap/>
            <w:vAlign w:val="center"/>
          </w:tcPr>
          <w:p w14:paraId="763DEFA6">
            <w:pPr>
              <w:widowControl/>
              <w:spacing w:line="360" w:lineRule="exact"/>
              <w:jc w:val="center"/>
              <w:textAlignment w:val="center"/>
              <w:rPr>
                <w:rFonts w:hint="eastAsia" w:ascii="仿宋_GB2312" w:hAnsi="仿宋_GB2312" w:eastAsia="仿宋_GB2312" w:cs="仿宋_GB2312"/>
                <w:color w:val="000000"/>
                <w:kern w:val="0"/>
                <w:sz w:val="30"/>
                <w:szCs w:val="30"/>
              </w:rPr>
            </w:pPr>
          </w:p>
        </w:tc>
        <w:tc>
          <w:tcPr>
            <w:tcW w:w="3260" w:type="dxa"/>
            <w:tcBorders>
              <w:top w:val="nil"/>
              <w:left w:val="nil"/>
              <w:bottom w:val="single" w:color="auto" w:sz="4" w:space="0"/>
              <w:right w:val="single" w:color="auto" w:sz="4" w:space="0"/>
            </w:tcBorders>
            <w:noWrap/>
            <w:vAlign w:val="center"/>
          </w:tcPr>
          <w:p w14:paraId="411FAE90">
            <w:pPr>
              <w:widowControl/>
              <w:spacing w:line="360" w:lineRule="exact"/>
              <w:jc w:val="center"/>
              <w:textAlignment w:val="center"/>
              <w:rPr>
                <w:rFonts w:hint="eastAsia" w:ascii="仿宋_GB2312" w:hAnsi="仿宋_GB2312" w:eastAsia="仿宋_GB2312" w:cs="仿宋_GB2312"/>
                <w:color w:val="000000"/>
                <w:kern w:val="0"/>
                <w:sz w:val="30"/>
                <w:szCs w:val="30"/>
              </w:rPr>
            </w:pPr>
            <w:r>
              <w:rPr>
                <w:rFonts w:hint="eastAsia" w:ascii="仿宋_GB2312" w:hAnsi="仿宋_GB2312" w:eastAsia="仿宋_GB2312" w:cs="仿宋_GB2312"/>
                <w:color w:val="000000"/>
                <w:kern w:val="0"/>
                <w:sz w:val="30"/>
                <w:szCs w:val="30"/>
              </w:rPr>
              <w:t>大数据技术</w:t>
            </w:r>
          </w:p>
        </w:tc>
        <w:tc>
          <w:tcPr>
            <w:tcW w:w="1701" w:type="dxa"/>
            <w:tcBorders>
              <w:top w:val="nil"/>
              <w:left w:val="nil"/>
              <w:bottom w:val="single" w:color="auto" w:sz="4" w:space="0"/>
              <w:right w:val="single" w:color="auto" w:sz="4" w:space="0"/>
            </w:tcBorders>
            <w:noWrap/>
            <w:vAlign w:val="center"/>
          </w:tcPr>
          <w:p w14:paraId="77789C81">
            <w:pPr>
              <w:widowControl/>
              <w:spacing w:line="360" w:lineRule="exact"/>
              <w:jc w:val="center"/>
              <w:textAlignment w:val="center"/>
              <w:rPr>
                <w:rFonts w:hint="eastAsia" w:ascii="仿宋_GB2312" w:hAnsi="仿宋_GB2312" w:eastAsia="仿宋_GB2312" w:cs="仿宋_GB2312"/>
                <w:sz w:val="30"/>
                <w:szCs w:val="30"/>
              </w:rPr>
            </w:pPr>
            <w:r>
              <w:rPr>
                <w:rFonts w:hint="eastAsia" w:ascii="仿宋_GB2312" w:hAnsi="仿宋_GB2312" w:eastAsia="仿宋_GB2312" w:cs="仿宋_GB2312"/>
                <w:sz w:val="30"/>
                <w:szCs w:val="30"/>
              </w:rPr>
              <w:t>4600</w:t>
            </w:r>
          </w:p>
        </w:tc>
      </w:tr>
      <w:tr w14:paraId="2FB0FC84">
        <w:tblPrEx>
          <w:tblCellMar>
            <w:top w:w="0" w:type="dxa"/>
            <w:left w:w="108" w:type="dxa"/>
            <w:bottom w:w="0" w:type="dxa"/>
            <w:right w:w="108" w:type="dxa"/>
          </w:tblCellMar>
        </w:tblPrEx>
        <w:trPr>
          <w:trHeight w:val="456" w:hRule="exact"/>
          <w:jc w:val="center"/>
        </w:trPr>
        <w:tc>
          <w:tcPr>
            <w:tcW w:w="1442" w:type="dxa"/>
            <w:vMerge w:val="continue"/>
            <w:tcBorders>
              <w:left w:val="single" w:color="auto" w:sz="4" w:space="0"/>
              <w:right w:val="single" w:color="auto" w:sz="4" w:space="0"/>
            </w:tcBorders>
            <w:noWrap/>
            <w:vAlign w:val="center"/>
          </w:tcPr>
          <w:p w14:paraId="00C909A7">
            <w:pPr>
              <w:widowControl/>
              <w:spacing w:line="360" w:lineRule="exact"/>
              <w:ind w:firstLine="600" w:firstLineChars="200"/>
              <w:jc w:val="center"/>
              <w:textAlignment w:val="center"/>
              <w:rPr>
                <w:rFonts w:hint="eastAsia" w:ascii="仿宋_GB2312" w:hAnsi="仿宋_GB2312" w:eastAsia="仿宋_GB2312" w:cs="仿宋_GB2312"/>
                <w:kern w:val="0"/>
                <w:sz w:val="30"/>
                <w:szCs w:val="30"/>
                <w:lang w:bidi="ar"/>
              </w:rPr>
            </w:pPr>
          </w:p>
        </w:tc>
        <w:tc>
          <w:tcPr>
            <w:tcW w:w="2752" w:type="dxa"/>
            <w:vMerge w:val="continue"/>
            <w:tcBorders>
              <w:left w:val="nil"/>
              <w:right w:val="single" w:color="auto" w:sz="4" w:space="0"/>
            </w:tcBorders>
            <w:noWrap/>
            <w:vAlign w:val="center"/>
          </w:tcPr>
          <w:p w14:paraId="3B83F3AE">
            <w:pPr>
              <w:widowControl/>
              <w:spacing w:line="360" w:lineRule="exact"/>
              <w:jc w:val="center"/>
              <w:textAlignment w:val="center"/>
              <w:rPr>
                <w:rFonts w:hint="eastAsia" w:ascii="仿宋_GB2312" w:hAnsi="仿宋_GB2312" w:eastAsia="仿宋_GB2312" w:cs="仿宋_GB2312"/>
                <w:color w:val="000000"/>
                <w:kern w:val="0"/>
                <w:sz w:val="30"/>
                <w:szCs w:val="30"/>
              </w:rPr>
            </w:pPr>
          </w:p>
        </w:tc>
        <w:tc>
          <w:tcPr>
            <w:tcW w:w="3260" w:type="dxa"/>
            <w:tcBorders>
              <w:top w:val="nil"/>
              <w:left w:val="nil"/>
              <w:bottom w:val="single" w:color="auto" w:sz="4" w:space="0"/>
              <w:right w:val="single" w:color="auto" w:sz="4" w:space="0"/>
            </w:tcBorders>
            <w:noWrap/>
            <w:vAlign w:val="center"/>
          </w:tcPr>
          <w:p w14:paraId="502833E7">
            <w:pPr>
              <w:widowControl/>
              <w:spacing w:line="360" w:lineRule="exact"/>
              <w:jc w:val="center"/>
              <w:textAlignment w:val="center"/>
              <w:rPr>
                <w:rFonts w:hint="eastAsia" w:ascii="仿宋_GB2312" w:hAnsi="仿宋_GB2312" w:eastAsia="仿宋_GB2312" w:cs="仿宋_GB2312"/>
                <w:color w:val="000000"/>
                <w:kern w:val="0"/>
                <w:sz w:val="30"/>
                <w:szCs w:val="30"/>
              </w:rPr>
            </w:pPr>
            <w:r>
              <w:rPr>
                <w:rFonts w:hint="eastAsia" w:ascii="仿宋_GB2312" w:hAnsi="仿宋_GB2312" w:eastAsia="仿宋_GB2312" w:cs="仿宋_GB2312"/>
                <w:color w:val="000000"/>
                <w:kern w:val="0"/>
                <w:sz w:val="30"/>
                <w:szCs w:val="30"/>
              </w:rPr>
              <w:t>移动互联应用技术</w:t>
            </w:r>
          </w:p>
        </w:tc>
        <w:tc>
          <w:tcPr>
            <w:tcW w:w="1701" w:type="dxa"/>
            <w:tcBorders>
              <w:top w:val="nil"/>
              <w:left w:val="nil"/>
              <w:bottom w:val="single" w:color="auto" w:sz="4" w:space="0"/>
              <w:right w:val="single" w:color="auto" w:sz="4" w:space="0"/>
            </w:tcBorders>
            <w:noWrap/>
            <w:vAlign w:val="center"/>
          </w:tcPr>
          <w:p w14:paraId="315BF41E">
            <w:pPr>
              <w:widowControl/>
              <w:spacing w:line="360" w:lineRule="exact"/>
              <w:jc w:val="center"/>
              <w:textAlignment w:val="center"/>
              <w:rPr>
                <w:rFonts w:hint="eastAsia" w:ascii="仿宋_GB2312" w:hAnsi="仿宋_GB2312" w:eastAsia="仿宋_GB2312" w:cs="仿宋_GB2312"/>
                <w:sz w:val="30"/>
                <w:szCs w:val="30"/>
              </w:rPr>
            </w:pPr>
            <w:r>
              <w:rPr>
                <w:rFonts w:hint="eastAsia" w:ascii="仿宋_GB2312" w:hAnsi="仿宋_GB2312" w:eastAsia="仿宋_GB2312" w:cs="仿宋_GB2312"/>
                <w:sz w:val="30"/>
                <w:szCs w:val="30"/>
              </w:rPr>
              <w:t>4600</w:t>
            </w:r>
          </w:p>
        </w:tc>
      </w:tr>
      <w:tr w14:paraId="6A13F341">
        <w:tblPrEx>
          <w:tblCellMar>
            <w:top w:w="0" w:type="dxa"/>
            <w:left w:w="108" w:type="dxa"/>
            <w:bottom w:w="0" w:type="dxa"/>
            <w:right w:w="108" w:type="dxa"/>
          </w:tblCellMar>
        </w:tblPrEx>
        <w:trPr>
          <w:trHeight w:val="480" w:hRule="exact"/>
          <w:jc w:val="center"/>
        </w:trPr>
        <w:tc>
          <w:tcPr>
            <w:tcW w:w="1442" w:type="dxa"/>
            <w:vMerge w:val="continue"/>
            <w:tcBorders>
              <w:left w:val="single" w:color="auto" w:sz="4" w:space="0"/>
              <w:bottom w:val="single" w:color="auto" w:sz="4" w:space="0"/>
              <w:right w:val="single" w:color="auto" w:sz="4" w:space="0"/>
            </w:tcBorders>
            <w:vAlign w:val="center"/>
          </w:tcPr>
          <w:p w14:paraId="33D410B9">
            <w:pPr>
              <w:widowControl/>
              <w:spacing w:line="360" w:lineRule="exact"/>
              <w:ind w:firstLine="600" w:firstLineChars="200"/>
              <w:jc w:val="center"/>
              <w:rPr>
                <w:rFonts w:hint="eastAsia" w:ascii="仿宋_GB2312" w:hAnsi="仿宋_GB2312" w:eastAsia="仿宋_GB2312" w:cs="仿宋_GB2312"/>
                <w:kern w:val="0"/>
                <w:sz w:val="30"/>
                <w:szCs w:val="30"/>
              </w:rPr>
            </w:pPr>
          </w:p>
        </w:tc>
        <w:tc>
          <w:tcPr>
            <w:tcW w:w="2752" w:type="dxa"/>
            <w:vMerge w:val="continue"/>
            <w:tcBorders>
              <w:left w:val="nil"/>
              <w:bottom w:val="single" w:color="auto" w:sz="4" w:space="0"/>
              <w:right w:val="single" w:color="auto" w:sz="4" w:space="0"/>
            </w:tcBorders>
            <w:noWrap/>
            <w:vAlign w:val="center"/>
          </w:tcPr>
          <w:p w14:paraId="69924898">
            <w:pPr>
              <w:widowControl/>
              <w:spacing w:line="360" w:lineRule="exact"/>
              <w:jc w:val="center"/>
              <w:textAlignment w:val="center"/>
              <w:rPr>
                <w:rFonts w:hint="eastAsia" w:ascii="仿宋_GB2312" w:hAnsi="仿宋_GB2312" w:eastAsia="仿宋_GB2312" w:cs="仿宋_GB2312"/>
                <w:color w:val="000000"/>
                <w:kern w:val="0"/>
                <w:sz w:val="30"/>
                <w:szCs w:val="30"/>
              </w:rPr>
            </w:pPr>
          </w:p>
        </w:tc>
        <w:tc>
          <w:tcPr>
            <w:tcW w:w="3260" w:type="dxa"/>
            <w:tcBorders>
              <w:top w:val="nil"/>
              <w:left w:val="nil"/>
              <w:bottom w:val="single" w:color="auto" w:sz="4" w:space="0"/>
              <w:right w:val="single" w:color="auto" w:sz="4" w:space="0"/>
            </w:tcBorders>
            <w:noWrap/>
            <w:vAlign w:val="center"/>
          </w:tcPr>
          <w:p w14:paraId="2BF7E2AF">
            <w:pPr>
              <w:widowControl/>
              <w:spacing w:line="360" w:lineRule="exact"/>
              <w:jc w:val="center"/>
              <w:textAlignment w:val="center"/>
              <w:rPr>
                <w:rFonts w:hint="eastAsia" w:ascii="仿宋_GB2312" w:hAnsi="仿宋_GB2312" w:eastAsia="仿宋_GB2312" w:cs="仿宋_GB2312"/>
                <w:color w:val="000000"/>
                <w:kern w:val="0"/>
                <w:sz w:val="30"/>
                <w:szCs w:val="30"/>
              </w:rPr>
            </w:pPr>
            <w:r>
              <w:rPr>
                <w:rFonts w:hint="eastAsia" w:ascii="仿宋_GB2312" w:hAnsi="仿宋_GB2312" w:eastAsia="仿宋_GB2312" w:cs="仿宋_GB2312"/>
                <w:color w:val="000000"/>
                <w:kern w:val="0"/>
                <w:sz w:val="30"/>
                <w:szCs w:val="30"/>
              </w:rPr>
              <w:t>人工智能技术应用</w:t>
            </w:r>
          </w:p>
        </w:tc>
        <w:tc>
          <w:tcPr>
            <w:tcW w:w="1701" w:type="dxa"/>
            <w:tcBorders>
              <w:top w:val="nil"/>
              <w:left w:val="nil"/>
              <w:bottom w:val="single" w:color="auto" w:sz="4" w:space="0"/>
              <w:right w:val="single" w:color="auto" w:sz="4" w:space="0"/>
            </w:tcBorders>
            <w:noWrap/>
            <w:vAlign w:val="center"/>
          </w:tcPr>
          <w:p w14:paraId="5FC029E4">
            <w:pPr>
              <w:widowControl/>
              <w:spacing w:line="360" w:lineRule="exact"/>
              <w:jc w:val="center"/>
              <w:textAlignment w:val="center"/>
              <w:rPr>
                <w:rFonts w:hint="eastAsia" w:ascii="仿宋_GB2312" w:hAnsi="仿宋_GB2312" w:eastAsia="仿宋_GB2312" w:cs="仿宋_GB2312"/>
                <w:sz w:val="30"/>
                <w:szCs w:val="30"/>
              </w:rPr>
            </w:pPr>
            <w:r>
              <w:rPr>
                <w:rFonts w:hint="eastAsia" w:ascii="仿宋_GB2312" w:hAnsi="仿宋_GB2312" w:eastAsia="仿宋_GB2312" w:cs="仿宋_GB2312"/>
                <w:sz w:val="30"/>
                <w:szCs w:val="30"/>
              </w:rPr>
              <w:t>4600</w:t>
            </w:r>
          </w:p>
        </w:tc>
      </w:tr>
      <w:bookmarkEnd w:id="2"/>
    </w:tbl>
    <w:p w14:paraId="31DCAE44">
      <w:pPr>
        <w:spacing w:line="560" w:lineRule="exact"/>
        <w:ind w:firstLine="643" w:firstLineChars="200"/>
        <w:rPr>
          <w:rFonts w:hint="eastAsia" w:ascii="仿宋_GB2312" w:hAnsi="仿宋_GB2312" w:eastAsia="仿宋_GB2312" w:cs="仿宋_GB2312"/>
          <w:sz w:val="32"/>
          <w:szCs w:val="32"/>
        </w:rPr>
      </w:pPr>
      <w:r>
        <w:rPr>
          <w:rFonts w:hint="eastAsia" w:ascii="楷体_GB2312" w:hAnsi="楷体_GB2312" w:eastAsia="楷体_GB2312" w:cs="楷体_GB2312"/>
          <w:b/>
          <w:sz w:val="32"/>
          <w:szCs w:val="32"/>
        </w:rPr>
        <w:t>第十三条</w:t>
      </w:r>
      <w:r>
        <w:rPr>
          <w:rFonts w:hint="eastAsia" w:ascii="仿宋_GB2312" w:hAnsi="仿宋_GB2312" w:eastAsia="仿宋_GB2312" w:cs="仿宋_GB2312"/>
          <w:sz w:val="32"/>
          <w:szCs w:val="32"/>
        </w:rPr>
        <w:t xml:space="preserve"> 单列计划及专业说明。根据省教育厅政策规定，单列计划纳入我院单招总计划，且均包含在各相关专业的招生计划内，未录满的计划自动转为普通类计划。</w:t>
      </w:r>
    </w:p>
    <w:p w14:paraId="222A6152">
      <w:pPr>
        <w:spacing w:line="56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1.退役军人计划10人，考生可在上表专业范围内自行选择报考，但每个专业最多录取5人。</w:t>
      </w:r>
    </w:p>
    <w:p w14:paraId="30BFD141">
      <w:pPr>
        <w:spacing w:line="56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2.其他社会人员（农民工、下岗失业人员、新型职业农民和企业在岗人员）计划20人，其中茶艺与茶文化专业4人；食用菌生产与加工技术专业4人；旅游管理专业4人；酒店管理与数字化运营专业4人；智慧景区开发与管理专业4人。</w:t>
      </w:r>
    </w:p>
    <w:p w14:paraId="2A3F3D75">
      <w:pPr>
        <w:spacing w:line="56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3.艺术特长生招生计划8人，体育特长生招生计划14人，考生可在上表单招专业范围内自行选择报考专业，但每个专业最多录取艺术、体育特长生分别5人。</w:t>
      </w:r>
    </w:p>
    <w:p w14:paraId="1F7DB314">
      <w:pPr>
        <w:spacing w:line="560" w:lineRule="exact"/>
        <w:ind w:firstLine="643" w:firstLineChars="200"/>
        <w:rPr>
          <w:rFonts w:hint="eastAsia" w:ascii="仿宋_GB2312" w:hAnsi="仿宋_GB2312" w:eastAsia="仿宋_GB2312" w:cs="仿宋_GB2312"/>
          <w:sz w:val="32"/>
          <w:szCs w:val="32"/>
        </w:rPr>
      </w:pPr>
      <w:r>
        <w:rPr>
          <w:rFonts w:hint="eastAsia" w:ascii="楷体_GB2312" w:hAnsi="楷体_GB2312" w:eastAsia="楷体_GB2312" w:cs="楷体_GB2312"/>
          <w:b/>
          <w:sz w:val="32"/>
          <w:szCs w:val="32"/>
        </w:rPr>
        <w:t>第十四条</w:t>
      </w:r>
      <w:r>
        <w:rPr>
          <w:rFonts w:hint="eastAsia" w:ascii="仿宋_GB2312" w:hAnsi="仿宋_GB2312" w:eastAsia="仿宋_GB2312" w:cs="仿宋_GB2312"/>
          <w:sz w:val="32"/>
          <w:szCs w:val="32"/>
        </w:rPr>
        <w:t xml:space="preserve"> 学院在考试结束后，以实际参考人数为基数，按比例确定各专业不同类别考生的计划数。学院各专业各类别计划确定并公布后，一律不调整和追加。单招未完成的计划转为统招计划使用。</w:t>
      </w:r>
    </w:p>
    <w:p w14:paraId="1F61C5E6">
      <w:pPr>
        <w:spacing w:before="156" w:beforeLines="50" w:after="156" w:afterLines="50" w:line="560" w:lineRule="exact"/>
        <w:jc w:val="center"/>
        <w:rPr>
          <w:rFonts w:hint="eastAsia" w:ascii="黑体" w:hAnsi="黑体" w:eastAsia="黑体" w:cs="黑体"/>
          <w:sz w:val="32"/>
          <w:szCs w:val="32"/>
        </w:rPr>
      </w:pPr>
      <w:r>
        <w:rPr>
          <w:rFonts w:hint="eastAsia" w:ascii="黑体" w:hAnsi="黑体" w:eastAsia="黑体" w:cs="黑体"/>
          <w:sz w:val="32"/>
          <w:szCs w:val="32"/>
        </w:rPr>
        <w:t>第五章  单招考试</w:t>
      </w:r>
    </w:p>
    <w:p w14:paraId="3C699EEF">
      <w:pPr>
        <w:spacing w:line="560" w:lineRule="exact"/>
        <w:ind w:firstLine="643" w:firstLineChars="200"/>
        <w:rPr>
          <w:rFonts w:hint="eastAsia" w:ascii="仿宋_GB2312" w:hAnsi="仿宋_GB2312" w:eastAsia="仿宋_GB2312" w:cs="仿宋_GB2312"/>
          <w:sz w:val="32"/>
          <w:szCs w:val="32"/>
        </w:rPr>
      </w:pPr>
      <w:r>
        <w:rPr>
          <w:rFonts w:hint="eastAsia" w:ascii="楷体_GB2312" w:hAnsi="楷体_GB2312" w:eastAsia="楷体_GB2312" w:cs="楷体_GB2312"/>
          <w:b/>
          <w:sz w:val="32"/>
          <w:szCs w:val="32"/>
        </w:rPr>
        <w:t>第十五条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学院将本着公平、公正、择优录取的原则，按照国家教育考试相关规定，在省教育厅、省教育考试院的指导和监督下组织单招考试的相关工作。</w:t>
      </w:r>
    </w:p>
    <w:p w14:paraId="50CE5052">
      <w:pPr>
        <w:spacing w:line="560" w:lineRule="exact"/>
        <w:ind w:firstLine="643" w:firstLineChars="200"/>
        <w:rPr>
          <w:rFonts w:hint="eastAsia" w:ascii="仿宋_GB2312" w:hAnsi="仿宋_GB2312" w:eastAsia="仿宋_GB2312" w:cs="仿宋_GB2312"/>
          <w:sz w:val="32"/>
          <w:szCs w:val="32"/>
        </w:rPr>
      </w:pPr>
      <w:r>
        <w:rPr>
          <w:rFonts w:hint="eastAsia" w:ascii="楷体_GB2312" w:hAnsi="楷体_GB2312" w:eastAsia="楷体_GB2312" w:cs="楷体_GB2312"/>
          <w:b/>
          <w:sz w:val="32"/>
          <w:szCs w:val="32"/>
        </w:rPr>
        <w:t>第十六条</w:t>
      </w:r>
      <w:r>
        <w:rPr>
          <w:rFonts w:hint="eastAsia" w:ascii="仿宋_GB2312" w:hAnsi="仿宋_GB2312" w:eastAsia="仿宋_GB2312" w:cs="仿宋_GB2312"/>
          <w:sz w:val="32"/>
          <w:szCs w:val="32"/>
        </w:rPr>
        <w:t xml:space="preserve"> 参加学院今年单招的考生分为应届普通高中毕业考生（具有2024年普通高中学业水平合格性考试有效成绩）、中职考生和往届普通高中考生及同等学力考生（含普通高中学业水平合格性考试有效成绩不全的应届普通高中考生）、退役军人、其他社会人员、艺术体育特长生5个大类。</w:t>
      </w:r>
    </w:p>
    <w:p w14:paraId="786926EE">
      <w:pPr>
        <w:spacing w:line="560" w:lineRule="exact"/>
        <w:ind w:firstLine="643" w:firstLineChars="200"/>
        <w:rPr>
          <w:rFonts w:hint="eastAsia" w:ascii="仿宋_GB2312" w:hAnsi="仿宋_GB2312" w:eastAsia="仿宋_GB2312" w:cs="仿宋_GB2312"/>
          <w:sz w:val="32"/>
          <w:szCs w:val="32"/>
        </w:rPr>
      </w:pPr>
      <w:r>
        <w:rPr>
          <w:rFonts w:hint="eastAsia" w:ascii="楷体_GB2312" w:hAnsi="楷体_GB2312" w:eastAsia="楷体_GB2312" w:cs="楷体_GB2312"/>
          <w:b/>
          <w:sz w:val="32"/>
          <w:szCs w:val="32"/>
        </w:rPr>
        <w:t>第十七条</w:t>
      </w:r>
      <w:r>
        <w:rPr>
          <w:rFonts w:hint="eastAsia" w:ascii="仿宋_GB2312" w:hAnsi="仿宋_GB2312" w:eastAsia="仿宋_GB2312" w:cs="仿宋_GB2312"/>
          <w:sz w:val="32"/>
          <w:szCs w:val="32"/>
        </w:rPr>
        <w:t xml:space="preserve"> 按照“文化素质+职业技能”方式，分类组织考试。根据考生的类别，考试按以下方式进行。</w:t>
      </w:r>
    </w:p>
    <w:p w14:paraId="7E890247">
      <w:pPr>
        <w:spacing w:line="560" w:lineRule="exact"/>
        <w:ind w:firstLine="643" w:firstLineChars="200"/>
        <w:rPr>
          <w:rFonts w:hint="eastAsia" w:ascii="仿宋_GB2312" w:hAnsi="仿宋_GB2312" w:eastAsia="仿宋_GB2312" w:cs="仿宋_GB2312"/>
          <w:sz w:val="32"/>
          <w:szCs w:val="32"/>
        </w:rPr>
      </w:pPr>
      <w:r>
        <w:rPr>
          <w:rFonts w:hint="eastAsia" w:ascii="仿宋_GB2312" w:hAnsi="仿宋_GB2312" w:eastAsia="仿宋_GB2312" w:cs="仿宋_GB2312"/>
          <w:b/>
          <w:bCs/>
          <w:sz w:val="32"/>
          <w:szCs w:val="32"/>
        </w:rPr>
        <w:t>1.第一类考生：应届普通高中毕业考生。</w:t>
      </w:r>
      <w:r>
        <w:rPr>
          <w:rFonts w:hint="eastAsia" w:ascii="仿宋_GB2312" w:hAnsi="仿宋_GB2312" w:eastAsia="仿宋_GB2312" w:cs="仿宋_GB2312"/>
          <w:sz w:val="32"/>
          <w:szCs w:val="32"/>
        </w:rPr>
        <w:t>文化素质测试成绩以学生取得的高中学业水平合格性考试语文、数学、外语3门科目有效成绩代替。职业技能测试由学院组织，分专业组按照人才培养需要，分别采取笔试、实践操作、技能展示等方式进行，重点考察学生的职业适应性。</w:t>
      </w:r>
    </w:p>
    <w:p w14:paraId="0054F6D3">
      <w:pPr>
        <w:spacing w:line="560" w:lineRule="exact"/>
        <w:ind w:firstLine="643" w:firstLineChars="200"/>
        <w:rPr>
          <w:rFonts w:hint="eastAsia" w:ascii="仿宋_GB2312" w:hAnsi="仿宋_GB2312" w:eastAsia="仿宋_GB2312" w:cs="仿宋_GB2312"/>
          <w:sz w:val="32"/>
          <w:szCs w:val="32"/>
        </w:rPr>
      </w:pPr>
      <w:r>
        <w:rPr>
          <w:rFonts w:hint="eastAsia" w:ascii="仿宋_GB2312" w:hAnsi="仿宋_GB2312" w:eastAsia="仿宋_GB2312" w:cs="仿宋_GB2312"/>
          <w:b/>
          <w:bCs/>
          <w:sz w:val="32"/>
          <w:szCs w:val="32"/>
        </w:rPr>
        <w:t>2.第二类考生：中职考生和往届普通高中考生及同等学力考生。</w:t>
      </w:r>
      <w:r>
        <w:rPr>
          <w:rFonts w:hint="eastAsia" w:ascii="仿宋_GB2312" w:hAnsi="仿宋_GB2312" w:eastAsia="仿宋_GB2312" w:cs="仿宋_GB2312"/>
          <w:sz w:val="32"/>
          <w:szCs w:val="32"/>
        </w:rPr>
        <w:t>文化素质测试由学院依据《中等职业学校公共基础课课程标准》及高中教育阶段语文、数学、英语3门科目有关内容进行命题及考试。职业技能测试由学院组织，分专业组按照人才培养需要，分别采取笔试、实践操作、技能展示等方式进行，重点考察学生的职业技能。</w:t>
      </w:r>
    </w:p>
    <w:p w14:paraId="3AB1B624">
      <w:pPr>
        <w:spacing w:line="560" w:lineRule="exact"/>
        <w:ind w:firstLine="643" w:firstLineChars="200"/>
        <w:rPr>
          <w:rFonts w:hint="eastAsia" w:ascii="仿宋_GB2312" w:hAnsi="仿宋_GB2312" w:eastAsia="仿宋_GB2312" w:cs="仿宋_GB2312"/>
          <w:sz w:val="32"/>
          <w:szCs w:val="32"/>
        </w:rPr>
      </w:pPr>
      <w:r>
        <w:rPr>
          <w:rFonts w:hint="eastAsia" w:ascii="仿宋_GB2312" w:hAnsi="仿宋_GB2312" w:eastAsia="仿宋_GB2312" w:cs="仿宋_GB2312"/>
          <w:b/>
          <w:bCs/>
          <w:sz w:val="32"/>
          <w:szCs w:val="32"/>
        </w:rPr>
        <w:t>3.第三、第四类考生：退役军人及其他社会人员。</w:t>
      </w:r>
      <w:r>
        <w:rPr>
          <w:rFonts w:hint="eastAsia" w:ascii="仿宋_GB2312" w:hAnsi="仿宋_GB2312" w:eastAsia="仿宋_GB2312" w:cs="仿宋_GB2312"/>
          <w:sz w:val="32"/>
          <w:szCs w:val="32"/>
        </w:rPr>
        <w:t>退役军人、农民工等社会人员考生</w:t>
      </w:r>
      <w:r>
        <w:rPr>
          <w:rFonts w:hint="eastAsia" w:ascii="仿宋_GB2312" w:hAnsi="仿宋_GB2312" w:eastAsia="仿宋_GB2312" w:cs="仿宋_GB2312"/>
          <w:b/>
          <w:bCs/>
          <w:sz w:val="32"/>
          <w:szCs w:val="32"/>
        </w:rPr>
        <w:t>免予文化素质测试</w:t>
      </w:r>
      <w:r>
        <w:rPr>
          <w:rFonts w:hint="eastAsia" w:ascii="仿宋_GB2312" w:hAnsi="仿宋_GB2312" w:eastAsia="仿宋_GB2312" w:cs="仿宋_GB2312"/>
          <w:sz w:val="32"/>
          <w:szCs w:val="32"/>
        </w:rPr>
        <w:t>。职业技能测试由学院按照人才培养需要，分专业组分别采取笔试、实践操作、技能展示等方式进行。</w:t>
      </w:r>
    </w:p>
    <w:p w14:paraId="552FE692">
      <w:pPr>
        <w:spacing w:line="560" w:lineRule="exact"/>
        <w:ind w:firstLine="643" w:firstLineChars="200"/>
        <w:rPr>
          <w:rFonts w:hint="eastAsia" w:ascii="仿宋_GB2312" w:hAnsi="仿宋_GB2312" w:eastAsia="仿宋_GB2312" w:cs="仿宋_GB2312"/>
          <w:sz w:val="32"/>
          <w:szCs w:val="32"/>
        </w:rPr>
      </w:pPr>
      <w:r>
        <w:rPr>
          <w:rFonts w:hint="eastAsia" w:ascii="仿宋_GB2312" w:hAnsi="仿宋_GB2312" w:eastAsia="仿宋_GB2312" w:cs="仿宋_GB2312"/>
          <w:b/>
          <w:bCs/>
          <w:sz w:val="32"/>
          <w:szCs w:val="32"/>
        </w:rPr>
        <w:t>4.第五类考生：</w:t>
      </w:r>
      <w:r>
        <w:rPr>
          <w:rFonts w:hint="eastAsia" w:ascii="仿宋_GB2312" w:hAnsi="仿宋_GB2312" w:eastAsia="仿宋_GB2312" w:cs="仿宋_GB2312"/>
          <w:sz w:val="32"/>
          <w:szCs w:val="32"/>
        </w:rPr>
        <w:t>艺术、体育特长生。文化素质测试根据考生的类别不同，分别采取上述第一类或第二类的方式进行。</w:t>
      </w:r>
      <w:r>
        <w:rPr>
          <w:rFonts w:hint="eastAsia" w:ascii="仿宋_GB2312" w:hAnsi="仿宋_GB2312" w:eastAsia="仿宋_GB2312" w:cs="仿宋_GB2312"/>
          <w:b/>
          <w:bCs/>
          <w:sz w:val="32"/>
          <w:szCs w:val="32"/>
        </w:rPr>
        <w:t>职业技能测试成绩以艺术、体育专项测试成绩代替</w:t>
      </w:r>
      <w:r>
        <w:rPr>
          <w:rFonts w:hint="eastAsia" w:ascii="仿宋_GB2312" w:hAnsi="仿宋_GB2312" w:eastAsia="仿宋_GB2312" w:cs="仿宋_GB2312"/>
          <w:sz w:val="32"/>
          <w:szCs w:val="32"/>
        </w:rPr>
        <w:t>，专项测试按照《湖南商务职业技术学院2025年艺术、体育特长生高职单招方案》执行。</w:t>
      </w:r>
    </w:p>
    <w:p w14:paraId="5E207B60">
      <w:pPr>
        <w:spacing w:line="560" w:lineRule="exact"/>
        <w:ind w:firstLine="643" w:firstLineChars="200"/>
        <w:rPr>
          <w:rFonts w:hint="eastAsia" w:ascii="仿宋_GB2312" w:hAnsi="仿宋_GB2312" w:eastAsia="仿宋_GB2312" w:cs="仿宋_GB2312"/>
          <w:sz w:val="32"/>
          <w:szCs w:val="32"/>
        </w:rPr>
      </w:pPr>
      <w:r>
        <w:rPr>
          <w:rFonts w:hint="eastAsia" w:ascii="楷体_GB2312" w:hAnsi="楷体_GB2312" w:eastAsia="楷体_GB2312" w:cs="楷体_GB2312"/>
          <w:b/>
          <w:sz w:val="32"/>
          <w:szCs w:val="32"/>
        </w:rPr>
        <w:t>第十八条</w:t>
      </w:r>
      <w:r>
        <w:rPr>
          <w:rFonts w:hint="eastAsia" w:ascii="仿宋_GB2312" w:hAnsi="仿宋_GB2312" w:eastAsia="仿宋_GB2312" w:cs="仿宋_GB2312"/>
          <w:sz w:val="32"/>
          <w:szCs w:val="32"/>
        </w:rPr>
        <w:t xml:space="preserve"> 考生的综合成绩为文化素质成绩+职业技能成绩。上述第一类、第二类、第五类考生的高职单招综合成绩（总成绩）满分为600分，第三、第四类考生的综合成绩满分为300分。报考我院普通类专业的考生以及艺术体育特长生的文化素质成绩与职业技能成绩占比为1:1，即分别各占300分。各类考生的综合成绩按照满分600分换算后报送湖南省考试院。</w:t>
      </w:r>
    </w:p>
    <w:p w14:paraId="6911BA14">
      <w:pPr>
        <w:spacing w:line="560" w:lineRule="exact"/>
        <w:ind w:firstLine="643" w:firstLineChars="200"/>
        <w:rPr>
          <w:rFonts w:hint="eastAsia" w:ascii="仿宋_GB2312" w:hAnsi="仿宋_GB2312" w:eastAsia="仿宋_GB2312" w:cs="仿宋_GB2312"/>
          <w:sz w:val="32"/>
          <w:szCs w:val="32"/>
        </w:rPr>
      </w:pPr>
      <w:r>
        <w:rPr>
          <w:rFonts w:hint="eastAsia" w:ascii="楷体_GB2312" w:hAnsi="楷体_GB2312" w:eastAsia="楷体_GB2312" w:cs="楷体_GB2312"/>
          <w:b/>
          <w:sz w:val="32"/>
          <w:szCs w:val="32"/>
        </w:rPr>
        <w:t>第十九条</w:t>
      </w:r>
      <w:r>
        <w:rPr>
          <w:rFonts w:hint="eastAsia" w:ascii="仿宋_GB2312" w:hAnsi="仿宋_GB2312" w:eastAsia="仿宋_GB2312" w:cs="仿宋_GB2312"/>
          <w:sz w:val="32"/>
          <w:szCs w:val="32"/>
        </w:rPr>
        <w:t xml:space="preserve"> 学院针对第二类考生组织的文化素质测试为闭卷笔试方式。我院组织职业技能测试，分专业组采取以下方式：</w:t>
      </w:r>
    </w:p>
    <w:p w14:paraId="60E6FCE1">
      <w:pPr>
        <w:spacing w:line="56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专业组一、二、三、五的专业，采取笔试方式进行测试；</w:t>
      </w:r>
    </w:p>
    <w:p w14:paraId="2E8C1C10">
      <w:pPr>
        <w:spacing w:line="56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专业组四的专业，采取实践操作+技能展示方式进行测试。</w:t>
      </w:r>
    </w:p>
    <w:p w14:paraId="374C8244">
      <w:pPr>
        <w:spacing w:line="560" w:lineRule="exact"/>
        <w:ind w:firstLine="643" w:firstLineChars="200"/>
        <w:rPr>
          <w:rFonts w:hint="eastAsia" w:ascii="仿宋_GB2312" w:hAnsi="仿宋_GB2312" w:eastAsia="仿宋_GB2312" w:cs="仿宋_GB2312"/>
          <w:sz w:val="32"/>
          <w:szCs w:val="32"/>
        </w:rPr>
      </w:pPr>
      <w:r>
        <w:rPr>
          <w:rFonts w:hint="eastAsia" w:ascii="楷体_GB2312" w:hAnsi="楷体_GB2312" w:eastAsia="楷体_GB2312" w:cs="楷体_GB2312"/>
          <w:b/>
          <w:sz w:val="32"/>
          <w:szCs w:val="32"/>
        </w:rPr>
        <w:t>第二十条</w:t>
      </w:r>
      <w:r>
        <w:rPr>
          <w:rFonts w:hint="eastAsia" w:ascii="仿宋_GB2312" w:hAnsi="仿宋_GB2312" w:eastAsia="仿宋_GB2312" w:cs="仿宋_GB2312"/>
          <w:sz w:val="32"/>
          <w:szCs w:val="32"/>
        </w:rPr>
        <w:t xml:space="preserve"> 学院将按照分类考试的原则，对不同专业组的职业技能测试分别进行命题。文化素质测试、职业技能测试的有关说明、考试范围等，将在学院官网单招网进行公布。</w:t>
      </w:r>
    </w:p>
    <w:p w14:paraId="59AD68AE">
      <w:pPr>
        <w:spacing w:line="560" w:lineRule="exact"/>
        <w:ind w:firstLine="643" w:firstLineChars="200"/>
        <w:rPr>
          <w:rFonts w:hint="eastAsia" w:ascii="仿宋_GB2312" w:hAnsi="仿宋_GB2312" w:eastAsia="仿宋_GB2312" w:cs="仿宋_GB2312"/>
          <w:sz w:val="32"/>
          <w:szCs w:val="32"/>
        </w:rPr>
      </w:pPr>
      <w:r>
        <w:rPr>
          <w:rFonts w:hint="eastAsia" w:ascii="楷体_GB2312" w:hAnsi="楷体_GB2312" w:eastAsia="楷体_GB2312" w:cs="楷体_GB2312"/>
          <w:b/>
          <w:sz w:val="32"/>
          <w:szCs w:val="32"/>
        </w:rPr>
        <w:t>第二十一条</w:t>
      </w:r>
      <w:r>
        <w:rPr>
          <w:rFonts w:hint="eastAsia" w:ascii="仿宋_GB2312" w:hAnsi="仿宋_GB2312" w:eastAsia="仿宋_GB2312" w:cs="仿宋_GB2312"/>
          <w:sz w:val="32"/>
          <w:szCs w:val="32"/>
        </w:rPr>
        <w:t xml:space="preserve"> 符合以下免试条件的考生在单招考试前向学院申请。其中，职业技能特长申请免技能测试的考生，须在2025年2月25日前，将相关申请材料（含获奖证书、获奖文件、身份证原件，加盖中学公章的获奖证书、获奖文件复印件，身份证复印件等），通过送达或邮寄的方式交由我院招生就业处审核，邮寄地址：长沙市湘江新区雷锋大道413号湖南商务职业技术学院招生就业处，邮编410205，收件人：陈慧军（具体联系方式：0731-88115666/88115777）。免试直接录取的考生不占用单招计划数，使用我院统招计划，在统招录取前完成录取手续办理，有关审核程序和方法由省教育考试院另行规定。</w:t>
      </w:r>
    </w:p>
    <w:p w14:paraId="0379A536">
      <w:pPr>
        <w:spacing w:line="560" w:lineRule="exact"/>
        <w:ind w:firstLine="643" w:firstLineChars="200"/>
        <w:rPr>
          <w:rFonts w:hint="eastAsia" w:ascii="仿宋_GB2312" w:hAnsi="仿宋_GB2312" w:eastAsia="仿宋_GB2312" w:cs="仿宋_GB2312"/>
          <w:sz w:val="32"/>
          <w:szCs w:val="32"/>
        </w:rPr>
      </w:pPr>
      <w:r>
        <w:rPr>
          <w:rFonts w:hint="eastAsia" w:ascii="仿宋_GB2312" w:hAnsi="仿宋_GB2312" w:eastAsia="仿宋_GB2312" w:cs="仿宋_GB2312"/>
          <w:b/>
          <w:bCs/>
          <w:sz w:val="32"/>
          <w:szCs w:val="32"/>
        </w:rPr>
        <w:t>1.免试直接录取</w:t>
      </w:r>
      <w:r>
        <w:rPr>
          <w:rFonts w:hint="eastAsia" w:ascii="仿宋_GB2312" w:hAnsi="仿宋_GB2312" w:eastAsia="仿宋_GB2312" w:cs="仿宋_GB2312"/>
          <w:sz w:val="32"/>
          <w:szCs w:val="32"/>
        </w:rPr>
        <w:t>。根据教育部政策规定，中等职业教育应届毕业生，在校期间在世界技能组织主办的“世界技能大赛（World Skills Competition）”中获奖的中国国家代表队选手可保送至高职院校与获奖赛事相应的专业就读，在校期间获“全国职业院校技能大赛”“中国职业技能大赛”一等奖、二等奖、三等奖或“湖南省职业技能大赛”“湖南省职业院校技能竞赛”一等奖（金牌）的，可免试录取到我院就读。</w:t>
      </w:r>
    </w:p>
    <w:p w14:paraId="174260C7">
      <w:pPr>
        <w:spacing w:line="560" w:lineRule="exact"/>
        <w:ind w:firstLine="643" w:firstLineChars="200"/>
        <w:rPr>
          <w:rFonts w:hint="eastAsia" w:ascii="仿宋_GB2312" w:hAnsi="仿宋_GB2312" w:eastAsia="仿宋_GB2312" w:cs="仿宋_GB2312"/>
          <w:sz w:val="32"/>
          <w:szCs w:val="32"/>
        </w:rPr>
      </w:pPr>
      <w:r>
        <w:rPr>
          <w:rFonts w:hint="eastAsia" w:ascii="仿宋_GB2312" w:hAnsi="仿宋_GB2312" w:eastAsia="仿宋_GB2312" w:cs="仿宋_GB2312"/>
          <w:b/>
          <w:bCs/>
          <w:sz w:val="32"/>
          <w:szCs w:val="32"/>
        </w:rPr>
        <w:t>2.职业技能特长生免技能测试。</w:t>
      </w:r>
      <w:r>
        <w:rPr>
          <w:rFonts w:hint="eastAsia" w:ascii="仿宋_GB2312" w:hAnsi="仿宋_GB2312" w:eastAsia="仿宋_GB2312" w:cs="仿宋_GB2312"/>
          <w:sz w:val="32"/>
          <w:szCs w:val="32"/>
        </w:rPr>
        <w:t>在校学习期间获“湖南省职业技能大赛”“湖南省职业院校技能竞赛”二等奖（银牌）、三等奖（铜牌）的中职应届毕业生，报考获奖赛项对口专业可免予职业技能测试。其中获得二等奖（银牌）的学生可按技能测试成绩满分计入综合成绩；获得三等奖（铜牌）的学生可按技能测试成绩满分的80%计入综合成绩，也可选择参加学院组织的技能测试取得测试成绩，取两项成绩的较高分数计入综合成绩。</w:t>
      </w:r>
    </w:p>
    <w:p w14:paraId="3CA3BE45">
      <w:pPr>
        <w:spacing w:line="56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3.免试考生的录取专业与其获奖赛项对应（考生如需跨专业报考，则不能享受免试政策）。</w:t>
      </w:r>
    </w:p>
    <w:p w14:paraId="6F639525">
      <w:pPr>
        <w:spacing w:line="560" w:lineRule="exact"/>
        <w:ind w:firstLine="643" w:firstLineChars="200"/>
        <w:rPr>
          <w:rFonts w:hint="eastAsia" w:ascii="仿宋_GB2312" w:hAnsi="仿宋_GB2312" w:eastAsia="仿宋_GB2312" w:cs="仿宋_GB2312"/>
          <w:sz w:val="32"/>
          <w:szCs w:val="32"/>
        </w:rPr>
      </w:pPr>
      <w:r>
        <w:rPr>
          <w:rFonts w:hint="eastAsia" w:ascii="楷体_GB2312" w:hAnsi="楷体_GB2312" w:eastAsia="楷体_GB2312" w:cs="楷体_GB2312"/>
          <w:b/>
          <w:sz w:val="32"/>
          <w:szCs w:val="32"/>
        </w:rPr>
        <w:t>第二十二条</w:t>
      </w:r>
      <w:r>
        <w:rPr>
          <w:rFonts w:hint="eastAsia" w:ascii="仿宋_GB2312" w:hAnsi="仿宋_GB2312" w:eastAsia="仿宋_GB2312" w:cs="仿宋_GB2312"/>
          <w:sz w:val="32"/>
          <w:szCs w:val="32"/>
        </w:rPr>
        <w:t xml:space="preserve"> 学院按一志愿、二志愿分别组织单招考试。第一志愿考试时间为2025年3月8日。若第一志愿生源不足，未完成单招计划，我院将组织第二志愿考试，参考对象为第二志愿报考我院且未被第一志愿学校录取考生，时间为2025年4月5日。各科目的具体考试时间及地点将在学院官网单招网另行公布。</w:t>
      </w:r>
    </w:p>
    <w:p w14:paraId="2F79E148">
      <w:pPr>
        <w:spacing w:line="560" w:lineRule="exact"/>
        <w:ind w:firstLine="643" w:firstLineChars="200"/>
        <w:rPr>
          <w:rFonts w:hint="eastAsia" w:ascii="仿宋_GB2312" w:hAnsi="仿宋_GB2312" w:eastAsia="仿宋_GB2312" w:cs="仿宋_GB2312"/>
          <w:sz w:val="32"/>
          <w:szCs w:val="32"/>
        </w:rPr>
      </w:pPr>
      <w:r>
        <w:rPr>
          <w:rFonts w:hint="eastAsia" w:ascii="楷体_GB2312" w:hAnsi="楷体_GB2312" w:eastAsia="楷体_GB2312" w:cs="楷体_GB2312"/>
          <w:b/>
          <w:sz w:val="32"/>
          <w:szCs w:val="32"/>
        </w:rPr>
        <w:t>第二十三条</w:t>
      </w:r>
      <w:r>
        <w:rPr>
          <w:rFonts w:hint="eastAsia" w:ascii="仿宋_GB2312" w:hAnsi="仿宋_GB2312" w:eastAsia="仿宋_GB2312" w:cs="仿宋_GB2312"/>
          <w:sz w:val="32"/>
          <w:szCs w:val="32"/>
        </w:rPr>
        <w:t xml:space="preserve"> 根据物价部门统一规定，高职单招的报考费为80元/生。报考我院第一志愿的考生费缴纳时间为2025年3月1—4日，未在规定时间内缴费的，不得参加我院单招考试及录取。缴费成功的考生于2025年3月6—7日登录湖南商务职业技术学院微信公众号招生小程序自行打印准考证。第二志愿考生缴费及准考证打印时间学院另行公布。缴费咨询电话：0731-88116142，打印准考证咨询电话：0731-88115666。缴费方式及准考证打印流程详见学院单招网。</w:t>
      </w:r>
    </w:p>
    <w:p w14:paraId="4F573FA6">
      <w:pPr>
        <w:spacing w:line="560" w:lineRule="exact"/>
        <w:ind w:firstLine="643" w:firstLineChars="200"/>
        <w:rPr>
          <w:rFonts w:hint="eastAsia" w:ascii="仿宋_GB2312" w:hAnsi="仿宋_GB2312" w:eastAsia="仿宋_GB2312" w:cs="仿宋_GB2312"/>
          <w:sz w:val="32"/>
          <w:szCs w:val="32"/>
        </w:rPr>
      </w:pPr>
      <w:r>
        <w:rPr>
          <w:rFonts w:hint="eastAsia" w:ascii="楷体_GB2312" w:hAnsi="楷体_GB2312" w:eastAsia="楷体_GB2312" w:cs="楷体_GB2312"/>
          <w:b/>
          <w:sz w:val="32"/>
          <w:szCs w:val="32"/>
        </w:rPr>
        <w:t>第二十四条</w:t>
      </w:r>
      <w:r>
        <w:rPr>
          <w:rFonts w:hint="eastAsia" w:ascii="仿宋_GB2312" w:hAnsi="仿宋_GB2312" w:eastAsia="仿宋_GB2312" w:cs="仿宋_GB2312"/>
          <w:sz w:val="32"/>
          <w:szCs w:val="32"/>
        </w:rPr>
        <w:t xml:space="preserve"> 学院单招考试在省教育考试院的指导下，参照国家教育考试规定进行组织。在学院招生工作委员会的统筹下，由教务处、招生就业处、各二级学院、团委、体育课部、纪检监察处、保卫处、后勤管理处、实训与信息管理中心等部门共同组织考务工作。具体由教务处牵头组织命题，并负责其保密工作；教务处负责按国考要求制定具体的组考方案，根据报考人数合理安排考场并组织有序考试；教务处组织相关专家参照湖南省普通高考评卷及登分工作有关要求，制定科学合理的评判标准，加大信息公开及结果公示力度，确保考试评判工作公正、透明。</w:t>
      </w:r>
    </w:p>
    <w:p w14:paraId="19DCCF2C">
      <w:pPr>
        <w:spacing w:before="156" w:beforeLines="50" w:after="156" w:afterLines="50" w:line="560" w:lineRule="exact"/>
        <w:jc w:val="center"/>
        <w:rPr>
          <w:rFonts w:hint="eastAsia" w:ascii="黑体" w:hAnsi="黑体" w:eastAsia="黑体" w:cs="黑体"/>
          <w:sz w:val="32"/>
          <w:szCs w:val="32"/>
        </w:rPr>
      </w:pPr>
      <w:r>
        <w:rPr>
          <w:rFonts w:hint="eastAsia" w:ascii="黑体" w:hAnsi="黑体" w:eastAsia="黑体" w:cs="黑体"/>
          <w:sz w:val="32"/>
          <w:szCs w:val="32"/>
        </w:rPr>
        <w:t>第六章  单招录取</w:t>
      </w:r>
    </w:p>
    <w:p w14:paraId="34ED1370">
      <w:pPr>
        <w:spacing w:line="560" w:lineRule="exact"/>
        <w:ind w:firstLine="643" w:firstLineChars="200"/>
        <w:rPr>
          <w:rFonts w:hint="eastAsia" w:ascii="仿宋_GB2312" w:hAnsi="仿宋_GB2312" w:eastAsia="仿宋_GB2312" w:cs="仿宋_GB2312"/>
          <w:sz w:val="32"/>
          <w:szCs w:val="32"/>
        </w:rPr>
      </w:pPr>
      <w:r>
        <w:rPr>
          <w:rFonts w:hint="eastAsia" w:ascii="楷体_GB2312" w:hAnsi="楷体_GB2312" w:eastAsia="楷体_GB2312" w:cs="楷体_GB2312"/>
          <w:b/>
          <w:sz w:val="32"/>
          <w:szCs w:val="32"/>
        </w:rPr>
        <w:t>第二十五条</w:t>
      </w:r>
      <w:r>
        <w:rPr>
          <w:rFonts w:hint="eastAsia" w:ascii="仿宋_GB2312" w:hAnsi="仿宋_GB2312" w:eastAsia="仿宋_GB2312" w:cs="仿宋_GB2312"/>
          <w:sz w:val="32"/>
          <w:szCs w:val="32"/>
        </w:rPr>
        <w:t xml:space="preserve"> 应届普通高中毕业考生（第一类考生）、中职考生和往届普通高中考生及同等学力考生（第二类考生）的类别确定及普通高中学业水平合格性考试成绩的认定以省教育考试院提供的数据为依据。普通高中学业水平合格性考试有效成绩不全的应届普通高中毕业考生必须按照中职考生和往届普通高中考生及同等学力考生的要求参加文化素质测试及录取。</w:t>
      </w:r>
    </w:p>
    <w:p w14:paraId="16CD29FB">
      <w:pPr>
        <w:spacing w:line="560" w:lineRule="exact"/>
        <w:ind w:firstLine="643" w:firstLineChars="200"/>
        <w:rPr>
          <w:rFonts w:hint="eastAsia" w:ascii="仿宋_GB2312" w:hAnsi="仿宋_GB2312" w:eastAsia="仿宋_GB2312" w:cs="仿宋_GB2312"/>
          <w:sz w:val="32"/>
          <w:szCs w:val="32"/>
        </w:rPr>
      </w:pPr>
      <w:r>
        <w:rPr>
          <w:rFonts w:hint="eastAsia" w:ascii="楷体_GB2312" w:hAnsi="楷体_GB2312" w:eastAsia="楷体_GB2312" w:cs="楷体_GB2312"/>
          <w:b/>
          <w:sz w:val="32"/>
          <w:szCs w:val="32"/>
        </w:rPr>
        <w:t>第二十六条</w:t>
      </w:r>
      <w:r>
        <w:rPr>
          <w:rFonts w:hint="eastAsia" w:ascii="仿宋_GB2312" w:hAnsi="仿宋_GB2312" w:eastAsia="仿宋_GB2312" w:cs="仿宋_GB2312"/>
          <w:sz w:val="32"/>
          <w:szCs w:val="32"/>
        </w:rPr>
        <w:t xml:space="preserve"> 单招录取首先对报考单列计划的考生（第三类、第四类、第五类考生）进行录取，单列计划只录取第一志愿报考的考生，如有剩余单列计划则转为普通类计划录取第一类、第二类考生。</w:t>
      </w:r>
    </w:p>
    <w:p w14:paraId="50040356">
      <w:pPr>
        <w:spacing w:line="560" w:lineRule="exact"/>
        <w:ind w:firstLine="643" w:firstLineChars="200"/>
        <w:rPr>
          <w:rFonts w:hint="eastAsia" w:ascii="仿宋_GB2312" w:hAnsi="仿宋_GB2312" w:eastAsia="仿宋_GB2312" w:cs="仿宋_GB2312"/>
          <w:sz w:val="32"/>
          <w:szCs w:val="32"/>
        </w:rPr>
      </w:pPr>
      <w:r>
        <w:rPr>
          <w:rFonts w:hint="eastAsia" w:ascii="楷体_GB2312" w:hAnsi="楷体_GB2312" w:eastAsia="楷体_GB2312" w:cs="楷体_GB2312"/>
          <w:b/>
          <w:sz w:val="32"/>
          <w:szCs w:val="32"/>
        </w:rPr>
        <w:t>第二十七条</w:t>
      </w:r>
      <w:r>
        <w:rPr>
          <w:rFonts w:hint="eastAsia" w:ascii="仿宋_GB2312" w:hAnsi="仿宋_GB2312" w:eastAsia="仿宋_GB2312" w:cs="仿宋_GB2312"/>
          <w:sz w:val="32"/>
          <w:szCs w:val="32"/>
        </w:rPr>
        <w:t xml:space="preserve"> 普通类考生分类别分专业招生计划以实际参考的考生人数为基数，按专业计划数除以该专业参考总人数再乘以各类别参考人数的计算公式列出各专业第一类考生（具有2024年普通高中学业水平合格性考试有效成绩）、第二类考生（含普通高中学业水平合格性考试有效成绩不全的应届普通高中考生）的实际录取计划数。例如，某专业招生计划共100人，单列计划已录取5人，剩余计划95人录取第一类、第二类学生，如第一类考生、第二类考生一志愿实际参考的人数分别为150、50人，根据同比例公式计算可得第一类、第二类考生的计划数为71、24人。第一类考生计划数计算公式：95/（150+50）×150。各类别各专业计划确定后，录取过程中不再调整和追加。</w:t>
      </w:r>
    </w:p>
    <w:p w14:paraId="60B9ACD0">
      <w:pPr>
        <w:spacing w:line="560" w:lineRule="exact"/>
        <w:ind w:firstLine="643" w:firstLineChars="200"/>
        <w:rPr>
          <w:rFonts w:hint="eastAsia" w:ascii="仿宋_GB2312" w:hAnsi="仿宋_GB2312" w:eastAsia="仿宋_GB2312" w:cs="仿宋_GB2312"/>
          <w:sz w:val="32"/>
          <w:szCs w:val="32"/>
        </w:rPr>
      </w:pPr>
      <w:r>
        <w:rPr>
          <w:rFonts w:hint="eastAsia" w:ascii="楷体_GB2312" w:hAnsi="楷体_GB2312" w:eastAsia="楷体_GB2312" w:cs="楷体_GB2312"/>
          <w:b/>
          <w:sz w:val="32"/>
          <w:szCs w:val="32"/>
        </w:rPr>
        <w:t>第二十八条</w:t>
      </w:r>
      <w:r>
        <w:rPr>
          <w:rFonts w:hint="eastAsia" w:ascii="仿宋_GB2312" w:hAnsi="仿宋_GB2312" w:eastAsia="仿宋_GB2312" w:cs="仿宋_GB2312"/>
          <w:sz w:val="32"/>
          <w:szCs w:val="32"/>
        </w:rPr>
        <w:t xml:space="preserve"> 单招录取工作按照“招办录取、纪检监督、学校负责”的原则进行。各类别录取时，严格按考生的综合成绩，按照志愿优先、专业优先原则，从高分到低分择优录取，不跨类别调节计划录取。</w:t>
      </w:r>
    </w:p>
    <w:p w14:paraId="59491AA4">
      <w:pPr>
        <w:spacing w:line="56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各类别按照以下顺序进行：</w:t>
      </w:r>
    </w:p>
    <w:p w14:paraId="5F94DB8D">
      <w:pPr>
        <w:spacing w:line="560" w:lineRule="exact"/>
        <w:ind w:firstLine="643" w:firstLineChars="200"/>
        <w:rPr>
          <w:rFonts w:hint="eastAsia" w:ascii="仿宋_GB2312" w:hAnsi="仿宋_GB2312" w:eastAsia="仿宋_GB2312" w:cs="仿宋_GB2312"/>
          <w:sz w:val="32"/>
          <w:szCs w:val="32"/>
        </w:rPr>
      </w:pPr>
      <w:r>
        <w:rPr>
          <w:rFonts w:hint="eastAsia" w:ascii="仿宋_GB2312" w:hAnsi="仿宋_GB2312" w:eastAsia="仿宋_GB2312" w:cs="仿宋_GB2312"/>
          <w:b/>
          <w:bCs/>
          <w:sz w:val="32"/>
          <w:szCs w:val="32"/>
        </w:rPr>
        <w:t>1.退役军人考生。</w:t>
      </w:r>
      <w:r>
        <w:rPr>
          <w:rFonts w:hint="eastAsia" w:ascii="仿宋_GB2312" w:hAnsi="仿宋_GB2312" w:eastAsia="仿宋_GB2312" w:cs="仿宋_GB2312"/>
          <w:sz w:val="32"/>
          <w:szCs w:val="32"/>
        </w:rPr>
        <w:t>按考生职业技能测试综合成绩从高分到低分进行录取，录完为止。为避免个别专业扎堆报考，造成后续普通类考生计划不足，各专业录取退役军人考生的人数不超过5人。</w:t>
      </w:r>
    </w:p>
    <w:p w14:paraId="71C36B34">
      <w:pPr>
        <w:spacing w:line="560" w:lineRule="exact"/>
        <w:ind w:firstLine="643" w:firstLineChars="200"/>
        <w:rPr>
          <w:rFonts w:hint="eastAsia" w:ascii="仿宋_GB2312" w:hAnsi="仿宋_GB2312" w:eastAsia="仿宋_GB2312" w:cs="仿宋_GB2312"/>
          <w:sz w:val="32"/>
          <w:szCs w:val="32"/>
        </w:rPr>
      </w:pPr>
      <w:r>
        <w:rPr>
          <w:rFonts w:hint="eastAsia" w:ascii="仿宋_GB2312" w:hAnsi="仿宋_GB2312" w:eastAsia="仿宋_GB2312" w:cs="仿宋_GB2312"/>
          <w:b/>
          <w:bCs/>
          <w:sz w:val="32"/>
          <w:szCs w:val="32"/>
        </w:rPr>
        <w:t>2.其他社会人员</w:t>
      </w:r>
      <w:r>
        <w:rPr>
          <w:rFonts w:hint="eastAsia" w:ascii="仿宋_GB2312" w:hAnsi="仿宋_GB2312" w:eastAsia="仿宋_GB2312" w:cs="仿宋_GB2312"/>
          <w:sz w:val="32"/>
          <w:szCs w:val="32"/>
        </w:rPr>
        <w:t>（农民工、下岗失业人员、新型职业农民和企业在岗人员）：按考生职业技能测试综合成绩从高分到低分进行录取，录完为止。</w:t>
      </w:r>
    </w:p>
    <w:p w14:paraId="45E13194">
      <w:pPr>
        <w:spacing w:line="560" w:lineRule="exact"/>
        <w:ind w:firstLine="643" w:firstLineChars="200"/>
        <w:rPr>
          <w:rFonts w:hint="eastAsia" w:ascii="仿宋_GB2312" w:hAnsi="仿宋_GB2312" w:eastAsia="仿宋_GB2312" w:cs="仿宋_GB2312"/>
          <w:sz w:val="32"/>
          <w:szCs w:val="32"/>
        </w:rPr>
      </w:pPr>
      <w:r>
        <w:rPr>
          <w:rFonts w:hint="eastAsia" w:ascii="仿宋_GB2312" w:hAnsi="仿宋_GB2312" w:eastAsia="仿宋_GB2312" w:cs="仿宋_GB2312"/>
          <w:b/>
          <w:bCs/>
          <w:sz w:val="32"/>
          <w:szCs w:val="32"/>
        </w:rPr>
        <w:t>3.艺术体育特长生。</w:t>
      </w:r>
      <w:r>
        <w:rPr>
          <w:rFonts w:hint="eastAsia" w:ascii="仿宋_GB2312" w:hAnsi="仿宋_GB2312" w:eastAsia="仿宋_GB2312" w:cs="仿宋_GB2312"/>
          <w:sz w:val="32"/>
          <w:szCs w:val="32"/>
        </w:rPr>
        <w:t>依据考生所填报项目按综合成绩从高分到低分进行录取，具体规则详见《湖南商务职业技术学院2025年艺术、体育特长生高职单招方案》。为避免个别专业扎堆报考，造成后续普通类考生计划不足，各专业录取艺术、体育特长生考生的人数分别不超过5人。</w:t>
      </w:r>
    </w:p>
    <w:p w14:paraId="6C1C024A">
      <w:pPr>
        <w:spacing w:line="560" w:lineRule="exact"/>
        <w:ind w:firstLine="643" w:firstLineChars="200"/>
        <w:rPr>
          <w:rFonts w:hint="eastAsia" w:ascii="仿宋_GB2312" w:hAnsi="仿宋_GB2312" w:eastAsia="仿宋_GB2312" w:cs="仿宋_GB2312"/>
          <w:sz w:val="32"/>
          <w:szCs w:val="32"/>
        </w:rPr>
      </w:pPr>
      <w:r>
        <w:rPr>
          <w:rFonts w:hint="eastAsia" w:ascii="仿宋_GB2312" w:hAnsi="仿宋_GB2312" w:eastAsia="仿宋_GB2312" w:cs="仿宋_GB2312"/>
          <w:b/>
          <w:bCs/>
          <w:sz w:val="32"/>
          <w:szCs w:val="32"/>
        </w:rPr>
        <w:t>4.普通类考生。</w:t>
      </w:r>
      <w:r>
        <w:rPr>
          <w:rFonts w:hint="eastAsia" w:ascii="仿宋_GB2312" w:hAnsi="仿宋_GB2312" w:eastAsia="仿宋_GB2312" w:cs="仿宋_GB2312"/>
          <w:sz w:val="32"/>
          <w:szCs w:val="32"/>
        </w:rPr>
        <w:t>根据各专业分类别招生计划数，依据考生所填报专业按综合成绩从高分到低分进行录取，录满为止。如遇生源不足，则对该专业所对应专业组内未录取且服从调剂的考生按综合成绩从高分到低分进行调剂录取。</w:t>
      </w:r>
    </w:p>
    <w:p w14:paraId="2845126B">
      <w:pPr>
        <w:spacing w:line="560" w:lineRule="exact"/>
        <w:ind w:firstLine="643" w:firstLineChars="200"/>
        <w:rPr>
          <w:rFonts w:hint="eastAsia" w:ascii="仿宋_GB2312" w:hAnsi="仿宋_GB2312" w:eastAsia="仿宋_GB2312" w:cs="仿宋_GB2312"/>
          <w:sz w:val="32"/>
          <w:szCs w:val="32"/>
        </w:rPr>
      </w:pPr>
      <w:r>
        <w:rPr>
          <w:rFonts w:hint="eastAsia" w:ascii="楷体_GB2312" w:hAnsi="楷体_GB2312" w:eastAsia="楷体_GB2312" w:cs="楷体_GB2312"/>
          <w:b/>
          <w:sz w:val="32"/>
          <w:szCs w:val="32"/>
        </w:rPr>
        <w:t>第二十九条</w:t>
      </w:r>
      <w:r>
        <w:rPr>
          <w:rFonts w:hint="eastAsia" w:ascii="仿宋_GB2312" w:hAnsi="仿宋_GB2312" w:eastAsia="仿宋_GB2312" w:cs="仿宋_GB2312"/>
          <w:sz w:val="32"/>
          <w:szCs w:val="32"/>
        </w:rPr>
        <w:t xml:space="preserve"> 对于末位同分的考生，依据以下排序原则进行录取。同分排序规则为：依次按考生职业技能测试、语文、数学、外语成绩从高到低排序录取。</w:t>
      </w:r>
    </w:p>
    <w:p w14:paraId="1FA2F2F6">
      <w:pPr>
        <w:spacing w:line="560" w:lineRule="exact"/>
        <w:ind w:firstLine="643" w:firstLineChars="200"/>
        <w:rPr>
          <w:rFonts w:hint="eastAsia" w:ascii="仿宋_GB2312" w:hAnsi="仿宋_GB2312" w:eastAsia="仿宋_GB2312" w:cs="仿宋_GB2312"/>
          <w:sz w:val="32"/>
          <w:szCs w:val="32"/>
        </w:rPr>
      </w:pPr>
      <w:r>
        <w:rPr>
          <w:rFonts w:hint="eastAsia" w:ascii="楷体_GB2312" w:hAnsi="楷体_GB2312" w:eastAsia="楷体_GB2312" w:cs="楷体_GB2312"/>
          <w:b/>
          <w:sz w:val="32"/>
          <w:szCs w:val="32"/>
        </w:rPr>
        <w:t>第三十条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为保障生源质量，学院按照“公平竞争、公正选拔、公开透明” 的原则，严格按照志愿优先、专业优先原则，分类别从高分到低分择优录取，不跨类别调节计划录取。</w:t>
      </w:r>
    </w:p>
    <w:p w14:paraId="559A8AA4">
      <w:pPr>
        <w:spacing w:line="560" w:lineRule="exact"/>
        <w:ind w:firstLine="643" w:firstLineChars="200"/>
        <w:rPr>
          <w:rFonts w:hint="eastAsia" w:ascii="仿宋_GB2312" w:hAnsi="仿宋_GB2312" w:eastAsia="仿宋_GB2312" w:cs="仿宋_GB2312"/>
          <w:sz w:val="32"/>
          <w:szCs w:val="32"/>
        </w:rPr>
      </w:pPr>
      <w:r>
        <w:rPr>
          <w:rFonts w:hint="eastAsia" w:ascii="楷体_GB2312" w:hAnsi="楷体_GB2312" w:eastAsia="楷体_GB2312" w:cs="楷体_GB2312"/>
          <w:b/>
          <w:sz w:val="32"/>
          <w:szCs w:val="32"/>
        </w:rPr>
        <w:t>第三十一条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bCs/>
          <w:sz w:val="32"/>
          <w:szCs w:val="32"/>
        </w:rPr>
        <w:t>学院将通过官网</w:t>
      </w:r>
      <w:r>
        <w:rPr>
          <w:rFonts w:hint="eastAsia" w:ascii="仿宋_GB2312" w:hAnsi="仿宋_GB2312" w:eastAsia="仿宋_GB2312" w:cs="仿宋_GB2312"/>
          <w:sz w:val="32"/>
          <w:szCs w:val="32"/>
        </w:rPr>
        <w:t>发布单招拟录取名单，拟录取考生需在我院规定时间内办理相关录取确认手续。未在规定时间内办理录取确认手续的考生视为确认放弃录取。在此过程中，对放弃录取资格空缺出来的计划，按从高分到低分的原则，从同一类别考生中依序递补录取考生（只限在同一个专业组内进行递补）。</w:t>
      </w:r>
    </w:p>
    <w:p w14:paraId="4E24D02E">
      <w:pPr>
        <w:spacing w:line="560" w:lineRule="exact"/>
        <w:ind w:firstLine="643" w:firstLineChars="200"/>
        <w:rPr>
          <w:rFonts w:hint="eastAsia" w:ascii="仿宋_GB2312" w:hAnsi="仿宋_GB2312" w:eastAsia="仿宋_GB2312" w:cs="仿宋_GB2312"/>
          <w:sz w:val="32"/>
          <w:szCs w:val="32"/>
        </w:rPr>
      </w:pPr>
      <w:r>
        <w:rPr>
          <w:rFonts w:hint="eastAsia" w:ascii="楷体_GB2312" w:hAnsi="楷体_GB2312" w:eastAsia="楷体_GB2312" w:cs="楷体_GB2312"/>
          <w:b/>
          <w:sz w:val="32"/>
          <w:szCs w:val="32"/>
        </w:rPr>
        <w:t>第三十二条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单招录取的学生不得参加本年度统一高考和普通高校对口招生考试。单招录取的学生不得转学，特殊情况需转专业的，按照《湖南商务职业技术学院学生转专业管理办法》相关规定执行。</w:t>
      </w:r>
    </w:p>
    <w:p w14:paraId="7F6BF916">
      <w:pPr>
        <w:spacing w:line="560" w:lineRule="exact"/>
        <w:ind w:firstLine="643" w:firstLineChars="200"/>
        <w:rPr>
          <w:rFonts w:hint="eastAsia" w:ascii="仿宋_GB2312" w:hAnsi="仿宋_GB2312" w:eastAsia="仿宋_GB2312" w:cs="仿宋_GB2312"/>
          <w:sz w:val="32"/>
          <w:szCs w:val="32"/>
        </w:rPr>
      </w:pPr>
      <w:r>
        <w:rPr>
          <w:rFonts w:hint="eastAsia" w:ascii="楷体_GB2312" w:hAnsi="楷体_GB2312" w:eastAsia="楷体_GB2312" w:cs="楷体_GB2312"/>
          <w:b/>
          <w:sz w:val="32"/>
          <w:szCs w:val="32"/>
        </w:rPr>
        <w:t>第三十三条</w:t>
      </w:r>
      <w:r>
        <w:rPr>
          <w:rFonts w:hint="eastAsia" w:ascii="仿宋_GB2312" w:hAnsi="仿宋_GB2312" w:eastAsia="仿宋_GB2312" w:cs="仿宋_GB2312"/>
          <w:sz w:val="32"/>
          <w:szCs w:val="32"/>
        </w:rPr>
        <w:t xml:space="preserve"> 农民工等其他社会人员考生须录取到指定专业，不得转到其他专业。社会人员考生录取后，高职院校按照《教育部办公厅关于做好扩招后高职教育教学管理工作的指导意见》（教职成厅函〔2019〕20号）及省教育厅有关文件规定，按照相对集中全日制教学的原则进行管理和培养，学院执行编入相应班级全日制集中的统一教学与管理。</w:t>
      </w:r>
    </w:p>
    <w:p w14:paraId="26FE33D6">
      <w:pPr>
        <w:spacing w:line="560" w:lineRule="exact"/>
        <w:ind w:firstLine="643" w:firstLineChars="200"/>
        <w:rPr>
          <w:rFonts w:hint="eastAsia" w:ascii="仿宋_GB2312" w:hAnsi="仿宋_GB2312" w:eastAsia="仿宋_GB2312" w:cs="仿宋_GB2312"/>
          <w:sz w:val="32"/>
          <w:szCs w:val="32"/>
        </w:rPr>
      </w:pPr>
      <w:r>
        <w:rPr>
          <w:rFonts w:hint="eastAsia" w:ascii="楷体_GB2312" w:hAnsi="楷体_GB2312" w:eastAsia="楷体_GB2312" w:cs="楷体_GB2312"/>
          <w:b/>
          <w:sz w:val="32"/>
          <w:szCs w:val="32"/>
        </w:rPr>
        <w:t>第三十四条</w:t>
      </w:r>
      <w:r>
        <w:rPr>
          <w:rFonts w:hint="eastAsia" w:ascii="仿宋_GB2312" w:hAnsi="仿宋_GB2312" w:eastAsia="仿宋_GB2312" w:cs="仿宋_GB2312"/>
          <w:sz w:val="32"/>
          <w:szCs w:val="32"/>
        </w:rPr>
        <w:t xml:space="preserve"> 单招第一志愿录取结束后，如有剩余专业计划，我院将向社会公布有缺额的专业及计划数，并组织第二志愿报考我校且未被第一志愿录取的考生举行考试。第二志愿考试要求及录取规则等与第一志愿的相关规定一致。</w:t>
      </w:r>
    </w:p>
    <w:p w14:paraId="3A55337D">
      <w:pPr>
        <w:spacing w:before="156" w:beforeLines="50" w:after="156" w:afterLines="50" w:line="560" w:lineRule="exact"/>
        <w:jc w:val="center"/>
        <w:rPr>
          <w:rFonts w:hint="eastAsia" w:ascii="黑体" w:hAnsi="黑体" w:eastAsia="黑体" w:cs="黑体"/>
          <w:sz w:val="32"/>
          <w:szCs w:val="32"/>
        </w:rPr>
      </w:pPr>
      <w:r>
        <w:rPr>
          <w:rFonts w:hint="eastAsia" w:ascii="黑体" w:hAnsi="黑体" w:eastAsia="黑体" w:cs="黑体"/>
          <w:sz w:val="32"/>
          <w:szCs w:val="32"/>
        </w:rPr>
        <w:t>第七章  监督管理</w:t>
      </w:r>
    </w:p>
    <w:p w14:paraId="534C9F4D">
      <w:pPr>
        <w:spacing w:line="560" w:lineRule="exact"/>
        <w:ind w:firstLine="643" w:firstLineChars="200"/>
        <w:rPr>
          <w:rFonts w:hint="eastAsia" w:ascii="仿宋_GB2312" w:hAnsi="仿宋_GB2312" w:eastAsia="仿宋_GB2312" w:cs="仿宋_GB2312"/>
          <w:sz w:val="32"/>
          <w:szCs w:val="32"/>
        </w:rPr>
      </w:pPr>
      <w:r>
        <w:rPr>
          <w:rFonts w:hint="eastAsia" w:ascii="楷体_GB2312" w:hAnsi="楷体_GB2312" w:eastAsia="楷体_GB2312" w:cs="楷体_GB2312"/>
          <w:b/>
          <w:sz w:val="32"/>
          <w:szCs w:val="32"/>
        </w:rPr>
        <w:t>第三十五条</w:t>
      </w:r>
      <w:r>
        <w:rPr>
          <w:rFonts w:hint="eastAsia" w:ascii="仿宋_GB2312" w:hAnsi="仿宋_GB2312" w:eastAsia="仿宋_GB2312" w:cs="仿宋_GB2312"/>
          <w:sz w:val="32"/>
          <w:szCs w:val="32"/>
        </w:rPr>
        <w:t xml:space="preserve"> 单招考试及录取结束后，学院按照要求及时将考试结果及拟录取考生情况在学校官网公示。</w:t>
      </w:r>
    </w:p>
    <w:p w14:paraId="794F42E1">
      <w:pPr>
        <w:spacing w:line="560" w:lineRule="exact"/>
        <w:ind w:firstLine="643" w:firstLineChars="200"/>
        <w:rPr>
          <w:rFonts w:hint="eastAsia" w:ascii="仿宋_GB2312" w:hAnsi="仿宋_GB2312" w:eastAsia="仿宋_GB2312" w:cs="仿宋_GB2312"/>
          <w:sz w:val="32"/>
          <w:szCs w:val="32"/>
        </w:rPr>
      </w:pPr>
      <w:r>
        <w:rPr>
          <w:rFonts w:hint="eastAsia" w:ascii="楷体_GB2312" w:hAnsi="楷体_GB2312" w:eastAsia="楷体_GB2312" w:cs="楷体_GB2312"/>
          <w:b/>
          <w:sz w:val="32"/>
          <w:szCs w:val="32"/>
        </w:rPr>
        <w:t>第三十六条</w:t>
      </w:r>
      <w:r>
        <w:rPr>
          <w:rFonts w:hint="eastAsia" w:ascii="仿宋_GB2312" w:hAnsi="仿宋_GB2312" w:eastAsia="仿宋_GB2312" w:cs="仿宋_GB2312"/>
          <w:sz w:val="32"/>
          <w:szCs w:val="32"/>
        </w:rPr>
        <w:t xml:space="preserve"> 单招期间，确保规范有序、公平公正，在学院纪检监察处全程监督检查下进行单招考试、录取等工作。</w:t>
      </w:r>
    </w:p>
    <w:p w14:paraId="256A9B91">
      <w:pPr>
        <w:spacing w:line="560" w:lineRule="exact"/>
        <w:ind w:firstLine="643" w:firstLineChars="200"/>
        <w:rPr>
          <w:rFonts w:hint="eastAsia" w:ascii="仿宋_GB2312" w:hAnsi="仿宋_GB2312" w:eastAsia="仿宋_GB2312" w:cs="仿宋_GB2312"/>
          <w:sz w:val="32"/>
          <w:szCs w:val="32"/>
        </w:rPr>
      </w:pPr>
      <w:r>
        <w:rPr>
          <w:rFonts w:hint="eastAsia" w:ascii="楷体_GB2312" w:hAnsi="楷体_GB2312" w:eastAsia="楷体_GB2312" w:cs="楷体_GB2312"/>
          <w:b/>
          <w:sz w:val="32"/>
          <w:szCs w:val="32"/>
        </w:rPr>
        <w:t>第三十七条</w:t>
      </w:r>
      <w:r>
        <w:rPr>
          <w:rFonts w:hint="eastAsia" w:ascii="仿宋_GB2312" w:hAnsi="仿宋_GB2312" w:eastAsia="仿宋_GB2312" w:cs="仿宋_GB2312"/>
          <w:sz w:val="32"/>
          <w:szCs w:val="32"/>
        </w:rPr>
        <w:t xml:space="preserve"> 学院单招工作严格执行教育部和省教育厅政策规定和纪律要求，没有举办所谓的考前“辅导班”“培训班”，没有与任何社会机构及人员进行单招合作。凡是有社会机构和个人宣传与我院有合作、可以通过“内部指标”方式确保考生录取的，考生可第一时间向教育主管部门反映，遭受相关损失的可向公安机关反映。</w:t>
      </w:r>
    </w:p>
    <w:p w14:paraId="380C2DDB">
      <w:pPr>
        <w:spacing w:line="560" w:lineRule="exact"/>
        <w:ind w:firstLine="643" w:firstLineChars="200"/>
        <w:rPr>
          <w:rFonts w:hint="eastAsia" w:ascii="仿宋_GB2312" w:hAnsi="仿宋_GB2312" w:eastAsia="仿宋_GB2312" w:cs="仿宋_GB2312"/>
          <w:sz w:val="32"/>
          <w:szCs w:val="32"/>
        </w:rPr>
      </w:pPr>
      <w:r>
        <w:rPr>
          <w:rFonts w:hint="eastAsia" w:ascii="楷体_GB2312" w:hAnsi="楷体_GB2312" w:eastAsia="楷体_GB2312" w:cs="楷体_GB2312"/>
          <w:b/>
          <w:sz w:val="32"/>
          <w:szCs w:val="32"/>
        </w:rPr>
        <w:t>第三十八条</w:t>
      </w:r>
      <w:r>
        <w:rPr>
          <w:rFonts w:hint="eastAsia" w:ascii="仿宋_GB2312" w:hAnsi="仿宋_GB2312" w:eastAsia="仿宋_GB2312" w:cs="仿宋_GB2312"/>
          <w:sz w:val="32"/>
          <w:szCs w:val="32"/>
        </w:rPr>
        <w:t xml:space="preserve"> 我院将严格执行招生政策和招生纪律，对于在单招中违规的考生及工作人员，将严格按照《国家教育考试违规处理办法》《普通高等学校招生违规行为处理暂行办法》《事业单位工作人员处分暂行规定》《中华人民共和国公职人员政务处分法》等有关法律法规严肃处理，依法追究当事人及相关人员责任。欢迎考生、家长及社会对学院单招工作进行监督，学院的投诉举报电话为0731-88137262。</w:t>
      </w:r>
    </w:p>
    <w:p w14:paraId="4824C115">
      <w:pPr>
        <w:spacing w:before="156" w:beforeLines="50" w:after="156" w:afterLines="50" w:line="560" w:lineRule="exact"/>
        <w:jc w:val="center"/>
        <w:rPr>
          <w:rFonts w:hint="eastAsia" w:ascii="黑体" w:hAnsi="黑体" w:eastAsia="黑体" w:cs="黑体"/>
          <w:sz w:val="32"/>
          <w:szCs w:val="32"/>
        </w:rPr>
      </w:pPr>
      <w:r>
        <w:rPr>
          <w:rFonts w:hint="eastAsia" w:ascii="黑体" w:hAnsi="黑体" w:eastAsia="黑体" w:cs="黑体"/>
          <w:sz w:val="32"/>
          <w:szCs w:val="32"/>
        </w:rPr>
        <w:t>第八章  附  则</w:t>
      </w:r>
    </w:p>
    <w:p w14:paraId="1C510FE8">
      <w:pPr>
        <w:spacing w:line="560" w:lineRule="exact"/>
        <w:ind w:firstLine="643" w:firstLineChars="200"/>
        <w:rPr>
          <w:rFonts w:hint="eastAsia" w:ascii="仿宋_GB2312" w:hAnsi="仿宋_GB2312" w:eastAsia="仿宋_GB2312" w:cs="仿宋_GB2312"/>
          <w:sz w:val="32"/>
          <w:szCs w:val="32"/>
        </w:rPr>
      </w:pPr>
      <w:r>
        <w:rPr>
          <w:rFonts w:hint="eastAsia" w:ascii="楷体_GB2312" w:hAnsi="楷体_GB2312" w:eastAsia="楷体_GB2312" w:cs="楷体_GB2312"/>
          <w:b/>
          <w:sz w:val="32"/>
          <w:szCs w:val="32"/>
        </w:rPr>
        <w:t>第三十九条</w:t>
      </w:r>
      <w:r>
        <w:rPr>
          <w:rFonts w:hint="eastAsia" w:ascii="仿宋_GB2312" w:hAnsi="仿宋_GB2312" w:eastAsia="仿宋_GB2312" w:cs="仿宋_GB2312"/>
          <w:sz w:val="32"/>
          <w:szCs w:val="32"/>
        </w:rPr>
        <w:t xml:space="preserve"> 学院对新生入学设有“绿色通道”。家庭经济特别困难的新生，可持乡（镇）以上人民政府证明向学院学生工作部申请办理学费缓交手续，并可根据国家有关规定申请国家助学贷款。</w:t>
      </w:r>
    </w:p>
    <w:p w14:paraId="52826642">
      <w:pPr>
        <w:spacing w:line="560" w:lineRule="exact"/>
        <w:ind w:firstLine="643" w:firstLineChars="200"/>
        <w:rPr>
          <w:rFonts w:hint="eastAsia" w:ascii="仿宋_GB2312" w:hAnsi="仿宋_GB2312" w:eastAsia="仿宋_GB2312" w:cs="仿宋_GB2312"/>
          <w:sz w:val="32"/>
          <w:szCs w:val="32"/>
        </w:rPr>
      </w:pPr>
      <w:r>
        <w:rPr>
          <w:rFonts w:hint="eastAsia" w:ascii="楷体_GB2312" w:hAnsi="楷体_GB2312" w:eastAsia="楷体_GB2312" w:cs="楷体_GB2312"/>
          <w:b/>
          <w:sz w:val="32"/>
          <w:szCs w:val="32"/>
        </w:rPr>
        <w:t>第四十条</w:t>
      </w:r>
      <w:r>
        <w:rPr>
          <w:rFonts w:hint="eastAsia" w:ascii="仿宋_GB2312" w:hAnsi="仿宋_GB2312" w:eastAsia="仿宋_GB2312" w:cs="仿宋_GB2312"/>
          <w:sz w:val="32"/>
          <w:szCs w:val="32"/>
        </w:rPr>
        <w:t xml:space="preserve"> 录取考生的体检标准按照教育部、卫健委、中国残疾人联合会颁布的《普通高等学校招生体检工作指导意见》及有关补充规定执行。另应行业及用人单位招聘要求，报考我院下列专业对身体素质有以下要求，建议不符合要求的考生慎重报考。</w:t>
      </w:r>
      <w:r>
        <w:rPr>
          <w:rFonts w:hint="eastAsia" w:ascii="仿宋_GB2312" w:hAnsi="仿宋_GB2312" w:eastAsia="仿宋_GB2312" w:cs="仿宋_GB2312"/>
          <w:b/>
          <w:bCs/>
          <w:sz w:val="32"/>
          <w:szCs w:val="32"/>
        </w:rPr>
        <w:t>空中乘务专业招生条件：</w:t>
      </w:r>
      <w:r>
        <w:rPr>
          <w:rFonts w:hint="eastAsia" w:ascii="仿宋_GB2312" w:hAnsi="仿宋_GB2312" w:eastAsia="仿宋_GB2312" w:cs="仿宋_GB2312"/>
          <w:sz w:val="32"/>
          <w:szCs w:val="32"/>
        </w:rPr>
        <w:t>女生身高1.62—1.75米，男生身高1.72—1.85米，五官端正，体态匀称，体重适中，四肢运动平衡性好，无纹身和不得有1厘米以上的疤痕。</w:t>
      </w:r>
      <w:r>
        <w:rPr>
          <w:rFonts w:hint="eastAsia" w:ascii="仿宋_GB2312" w:hAnsi="仿宋_GB2312" w:eastAsia="仿宋_GB2312" w:cs="仿宋_GB2312"/>
          <w:b/>
          <w:bCs/>
          <w:sz w:val="32"/>
          <w:szCs w:val="32"/>
        </w:rPr>
        <w:t>酒店管理与数字化运营专业招生条件：</w:t>
      </w:r>
      <w:r>
        <w:rPr>
          <w:rFonts w:hint="eastAsia" w:ascii="仿宋_GB2312" w:hAnsi="仿宋_GB2312" w:eastAsia="仿宋_GB2312" w:cs="仿宋_GB2312"/>
          <w:sz w:val="32"/>
          <w:szCs w:val="32"/>
        </w:rPr>
        <w:t>男生身高1.65米以上，女生身高1.58米以上，五官端正。</w:t>
      </w:r>
      <w:r>
        <w:rPr>
          <w:rFonts w:hint="eastAsia" w:ascii="仿宋_GB2312" w:hAnsi="仿宋_GB2312" w:eastAsia="仿宋_GB2312" w:cs="仿宋_GB2312"/>
          <w:b/>
          <w:bCs/>
          <w:sz w:val="32"/>
          <w:szCs w:val="32"/>
        </w:rPr>
        <w:t>旅游管理专业、智慧景区开发与管理专业招生条件：</w:t>
      </w:r>
      <w:r>
        <w:rPr>
          <w:rFonts w:hint="eastAsia" w:ascii="仿宋_GB2312" w:hAnsi="仿宋_GB2312" w:eastAsia="仿宋_GB2312" w:cs="仿宋_GB2312"/>
          <w:sz w:val="32"/>
          <w:szCs w:val="32"/>
        </w:rPr>
        <w:t>男生身高1.65米以上，女生身高1.55米以上，五官端正。</w:t>
      </w:r>
    </w:p>
    <w:p w14:paraId="04E0CABE">
      <w:pPr>
        <w:spacing w:line="560" w:lineRule="exact"/>
        <w:ind w:firstLine="643" w:firstLineChars="200"/>
        <w:rPr>
          <w:rFonts w:hint="eastAsia" w:ascii="仿宋_GB2312" w:hAnsi="仿宋_GB2312" w:eastAsia="仿宋_GB2312" w:cs="仿宋_GB2312"/>
          <w:sz w:val="32"/>
          <w:szCs w:val="32"/>
        </w:rPr>
      </w:pPr>
      <w:r>
        <w:rPr>
          <w:rFonts w:hint="eastAsia" w:ascii="楷体_GB2312" w:hAnsi="楷体_GB2312" w:eastAsia="楷体_GB2312" w:cs="楷体_GB2312"/>
          <w:b/>
          <w:sz w:val="32"/>
          <w:szCs w:val="32"/>
        </w:rPr>
        <w:t>第四十一条</w:t>
      </w:r>
      <w:r>
        <w:rPr>
          <w:rFonts w:hint="eastAsia" w:ascii="仿宋_GB2312" w:hAnsi="仿宋_GB2312" w:eastAsia="仿宋_GB2312" w:cs="仿宋_GB2312"/>
          <w:sz w:val="32"/>
          <w:szCs w:val="32"/>
        </w:rPr>
        <w:t xml:space="preserve"> 录取考生的思想政治品德考核和身体健康状况检查均采用考生报考普通高校招生考试或对口招生考试时所采集的信息，学生对提供的信息真实性负责。</w:t>
      </w:r>
    </w:p>
    <w:p w14:paraId="6F33D80B">
      <w:pPr>
        <w:spacing w:line="560" w:lineRule="exact"/>
        <w:ind w:firstLine="643" w:firstLineChars="200"/>
        <w:rPr>
          <w:rFonts w:hint="eastAsia" w:ascii="仿宋_GB2312" w:hAnsi="仿宋_GB2312" w:eastAsia="仿宋_GB2312" w:cs="仿宋_GB2312"/>
          <w:sz w:val="32"/>
          <w:szCs w:val="32"/>
        </w:rPr>
      </w:pPr>
      <w:r>
        <w:rPr>
          <w:rFonts w:hint="eastAsia" w:ascii="楷体_GB2312" w:hAnsi="楷体_GB2312" w:eastAsia="楷体_GB2312" w:cs="楷体_GB2312"/>
          <w:b/>
          <w:sz w:val="32"/>
          <w:szCs w:val="32"/>
        </w:rPr>
        <w:t>第四十二条</w:t>
      </w:r>
      <w:r>
        <w:rPr>
          <w:rFonts w:hint="eastAsia" w:ascii="仿宋_GB2312" w:hAnsi="仿宋_GB2312" w:eastAsia="仿宋_GB2312" w:cs="仿宋_GB2312"/>
          <w:sz w:val="32"/>
          <w:szCs w:val="32"/>
        </w:rPr>
        <w:t xml:space="preserve"> 新生入学后3个月内，学院按照招生政策规定对新生报名资格、身心状况、录取手续及程序、录取资格、优惠资格及相关证明材料等进行复查复核。对复查复核发现的问题，学院将集中研究处理，凡属弄虚作假者，一经查实，取消其入学资格。对于弄虚作假情节严重或涉嫌冒名顶替上大学的，移送相关部门调查处理。</w:t>
      </w:r>
    </w:p>
    <w:p w14:paraId="52E7A02C">
      <w:pPr>
        <w:spacing w:line="560" w:lineRule="exact"/>
        <w:ind w:firstLine="643" w:firstLineChars="200"/>
        <w:rPr>
          <w:rFonts w:hint="eastAsia" w:ascii="仿宋_GB2312" w:hAnsi="仿宋_GB2312" w:eastAsia="仿宋_GB2312" w:cs="仿宋_GB2312"/>
          <w:sz w:val="32"/>
          <w:szCs w:val="32"/>
        </w:rPr>
      </w:pPr>
      <w:r>
        <w:rPr>
          <w:rFonts w:hint="eastAsia" w:ascii="楷体_GB2312" w:hAnsi="楷体_GB2312" w:eastAsia="楷体_GB2312" w:cs="楷体_GB2312"/>
          <w:b/>
          <w:sz w:val="32"/>
          <w:szCs w:val="32"/>
        </w:rPr>
        <w:t>第四十三条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本章程通过湖南省教育考试院和学院官网单招网向社会发布，对于各种媒体节选公布的章程内容，如理解有误，以学院公布的完整单独招生章程为准。</w:t>
      </w:r>
    </w:p>
    <w:p w14:paraId="73223214">
      <w:pPr>
        <w:spacing w:line="560" w:lineRule="exact"/>
        <w:ind w:firstLine="643" w:firstLineChars="200"/>
        <w:rPr>
          <w:rFonts w:hint="eastAsia" w:ascii="仿宋_GB2312" w:hAnsi="仿宋_GB2312" w:eastAsia="仿宋_GB2312" w:cs="仿宋_GB2312"/>
          <w:sz w:val="32"/>
          <w:szCs w:val="32"/>
        </w:rPr>
      </w:pPr>
      <w:r>
        <w:rPr>
          <w:rFonts w:hint="eastAsia" w:ascii="楷体_GB2312" w:hAnsi="楷体_GB2312" w:eastAsia="楷体_GB2312" w:cs="楷体_GB2312"/>
          <w:b/>
          <w:sz w:val="32"/>
          <w:szCs w:val="32"/>
        </w:rPr>
        <w:t>第四十四条</w:t>
      </w:r>
      <w:r>
        <w:rPr>
          <w:rFonts w:hint="eastAsia" w:ascii="仿宋_GB2312" w:hAnsi="仿宋_GB2312" w:eastAsia="仿宋_GB2312" w:cs="仿宋_GB2312"/>
          <w:sz w:val="32"/>
          <w:szCs w:val="32"/>
        </w:rPr>
        <w:t xml:space="preserve"> 学院招生联系方式</w:t>
      </w:r>
    </w:p>
    <w:p w14:paraId="0AD7C37B">
      <w:pPr>
        <w:spacing w:line="56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通信地址：湖南省长沙市湘江新区雷锋大道413号                                   </w:t>
      </w:r>
    </w:p>
    <w:p w14:paraId="3A7FFBEC">
      <w:pPr>
        <w:spacing w:line="56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邮政编码：410205                          </w:t>
      </w:r>
    </w:p>
    <w:p w14:paraId="4D75B868">
      <w:pPr>
        <w:spacing w:line="56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招生咨询电话：0731-88115666、88115777                      </w:t>
      </w:r>
    </w:p>
    <w:p w14:paraId="073B7B34">
      <w:pPr>
        <w:spacing w:line="56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学院微信公众号：湖南商务职业技术学院</w:t>
      </w:r>
    </w:p>
    <w:p w14:paraId="7AA2403C">
      <w:pPr>
        <w:spacing w:line="56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招生信息网址：https://www.hnvcc.edu.cn/danzhao/                        </w:t>
      </w:r>
    </w:p>
    <w:p w14:paraId="4668F6A2">
      <w:pPr>
        <w:spacing w:line="56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监督投诉电话：0731-88137262                   </w:t>
      </w:r>
    </w:p>
    <w:p w14:paraId="342B8202">
      <w:pPr>
        <w:spacing w:line="560" w:lineRule="exact"/>
        <w:ind w:firstLine="643" w:firstLineChars="200"/>
        <w:rPr>
          <w:rFonts w:hint="eastAsia" w:ascii="仿宋_GB2312" w:hAnsi="仿宋_GB2312" w:eastAsia="仿宋_GB2312" w:cs="仿宋_GB2312"/>
          <w:sz w:val="32"/>
          <w:szCs w:val="32"/>
        </w:rPr>
      </w:pPr>
      <w:r>
        <w:rPr>
          <w:rFonts w:hint="eastAsia" w:ascii="楷体_GB2312" w:hAnsi="楷体_GB2312" w:eastAsia="楷体_GB2312" w:cs="楷体_GB2312"/>
          <w:b/>
          <w:sz w:val="32"/>
          <w:szCs w:val="32"/>
        </w:rPr>
        <w:t>第四十五条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本章程适用于我院2025年湖南省单招。其解释权属于湖南商务职业技术学院。如遇教育部、湖南省教育厅相关招生政策调整，以公布的最新政策为准。</w:t>
      </w:r>
    </w:p>
    <w:bookmarkEnd w:id="0"/>
    <w:p w14:paraId="102508DC">
      <w:pPr>
        <w:spacing w:line="560" w:lineRule="exact"/>
        <w:ind w:firstLine="560" w:firstLineChars="200"/>
        <w:rPr>
          <w:rFonts w:hint="eastAsia" w:ascii="仿宋_GB2312" w:hAnsi="仿宋_GB2312" w:eastAsia="仿宋_GB2312" w:cs="仿宋_GB2312"/>
          <w:sz w:val="28"/>
          <w:szCs w:val="28"/>
        </w:rPr>
      </w:pPr>
    </w:p>
    <w:sectPr>
      <w:headerReference r:id="rId3" w:type="default"/>
      <w:footerReference r:id="rId4" w:type="default"/>
      <w:pgSz w:w="11906" w:h="16838"/>
      <w:pgMar w:top="1191" w:right="1520" w:bottom="1191" w:left="152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embedRegular r:id="rId1" w:fontKey="{F5271A73-3995-493B-9264-43C6A6191741}"/>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方正小标宋简体">
    <w:panose1 w:val="02000000000000000000"/>
    <w:charset w:val="86"/>
    <w:family w:val="auto"/>
    <w:pitch w:val="default"/>
    <w:sig w:usb0="00000001" w:usb1="08000000" w:usb2="00000000" w:usb3="00000000" w:csb0="00040000" w:csb1="00000000"/>
    <w:embedRegular r:id="rId2" w:fontKey="{748C082F-8A5F-42F4-AC9B-E033F5F196C6}"/>
  </w:font>
  <w:font w:name="仿宋_GB2312">
    <w:altName w:val="仿宋"/>
    <w:panose1 w:val="00000000000000000000"/>
    <w:charset w:val="86"/>
    <w:family w:val="modern"/>
    <w:pitch w:val="default"/>
    <w:sig w:usb0="00000000" w:usb1="00000000" w:usb2="00000000" w:usb3="00000000" w:csb0="00040000" w:csb1="00000000"/>
    <w:embedRegular r:id="rId3" w:fontKey="{69857837-BA93-4E19-8A2A-C4AD116A90A8}"/>
  </w:font>
  <w:font w:name="楷体_GB2312">
    <w:altName w:val="楷体"/>
    <w:panose1 w:val="00000000000000000000"/>
    <w:charset w:val="86"/>
    <w:family w:val="auto"/>
    <w:pitch w:val="default"/>
    <w:sig w:usb0="00000000" w:usb1="00000000" w:usb2="00000000" w:usb3="00000000" w:csb0="00040000" w:csb1="00000000"/>
    <w:embedRegular r:id="rId4" w:fontKey="{FF6C05B5-85DE-415C-9B85-B6D06EB40090}"/>
  </w:font>
  <w:font w:name="仿宋">
    <w:panose1 w:val="02010609060101010101"/>
    <w:charset w:val="86"/>
    <w:family w:val="modern"/>
    <w:pitch w:val="default"/>
    <w:sig w:usb0="800002BF" w:usb1="38CF7CFA" w:usb2="00000016" w:usb3="00000000" w:csb0="00040001" w:csb1="00000000"/>
    <w:embedRegular r:id="rId5" w:fontKey="{B605EAC8-5E6B-4496-8226-5E2583371CF0}"/>
  </w:font>
  <w:font w:name="微软雅黑">
    <w:panose1 w:val="020B0503020204020204"/>
    <w:charset w:val="86"/>
    <w:family w:val="swiss"/>
    <w:pitch w:val="default"/>
    <w:sig w:usb0="80000287" w:usb1="2ACF3C50" w:usb2="00000016" w:usb3="00000000" w:csb0="0004001F" w:csb1="00000000"/>
    <w:embedRegular r:id="rId6" w:fontKey="{2F17287E-983D-4081-9B38-0134F79916FA}"/>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B658B8B">
    <w:pPr>
      <w:pStyle w:val="7"/>
      <w:jc w:val="center"/>
    </w:pPr>
    <w:r>
      <w:fldChar w:fldCharType="begin"/>
    </w:r>
    <w:r>
      <w:instrText xml:space="preserve">PAGE   \* MERGEFORMAT</w:instrText>
    </w:r>
    <w:r>
      <w:fldChar w:fldCharType="separate"/>
    </w:r>
    <w:r>
      <w:t>9</w:t>
    </w:r>
    <w:r>
      <w:fldChar w:fldCharType="end"/>
    </w:r>
  </w:p>
  <w:p w14:paraId="19E7FBCB">
    <w:pPr>
      <w:pStyle w:val="7"/>
    </w:pPr>
  </w:p>
  <w:p w14:paraId="602F02F5"/>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08A4F81">
    <w:pPr>
      <w:pStyle w:val="8"/>
      <w:pBdr>
        <w:bottom w:val="none" w:color="auto" w:sz="0" w:space="0"/>
      </w:pBdr>
    </w:pPr>
  </w:p>
  <w:p w14:paraId="3527AEC4"/>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TrueTypeFonts/>
  <w:saveSubset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156"/>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U1ZWE2OWU2MmI2MTZmYzg2YzUyMWZiNjcxMDdlNjQifQ=="/>
  </w:docVars>
  <w:rsids>
    <w:rsidRoot w:val="00054A07"/>
    <w:rsid w:val="000130A7"/>
    <w:rsid w:val="000278C3"/>
    <w:rsid w:val="00037508"/>
    <w:rsid w:val="000421E8"/>
    <w:rsid w:val="000474FF"/>
    <w:rsid w:val="0005198F"/>
    <w:rsid w:val="00051CCC"/>
    <w:rsid w:val="00054A07"/>
    <w:rsid w:val="00061B30"/>
    <w:rsid w:val="000702EF"/>
    <w:rsid w:val="00071A9C"/>
    <w:rsid w:val="000755A7"/>
    <w:rsid w:val="000861D5"/>
    <w:rsid w:val="00086312"/>
    <w:rsid w:val="000917EF"/>
    <w:rsid w:val="000924F1"/>
    <w:rsid w:val="0009594F"/>
    <w:rsid w:val="000A23C9"/>
    <w:rsid w:val="000B059A"/>
    <w:rsid w:val="000B7D0E"/>
    <w:rsid w:val="000C17D8"/>
    <w:rsid w:val="000C2961"/>
    <w:rsid w:val="000D548C"/>
    <w:rsid w:val="000D6CA2"/>
    <w:rsid w:val="000E57AF"/>
    <w:rsid w:val="000E7D20"/>
    <w:rsid w:val="00102754"/>
    <w:rsid w:val="001068B1"/>
    <w:rsid w:val="00111490"/>
    <w:rsid w:val="00114C60"/>
    <w:rsid w:val="00117B92"/>
    <w:rsid w:val="00142C97"/>
    <w:rsid w:val="00144114"/>
    <w:rsid w:val="0015641C"/>
    <w:rsid w:val="00165634"/>
    <w:rsid w:val="00165805"/>
    <w:rsid w:val="00173708"/>
    <w:rsid w:val="001747A9"/>
    <w:rsid w:val="001777A6"/>
    <w:rsid w:val="00192EF1"/>
    <w:rsid w:val="001948F5"/>
    <w:rsid w:val="0019741D"/>
    <w:rsid w:val="001A1D23"/>
    <w:rsid w:val="001A31F5"/>
    <w:rsid w:val="001A4A92"/>
    <w:rsid w:val="001B36A5"/>
    <w:rsid w:val="001C15F1"/>
    <w:rsid w:val="001C5E53"/>
    <w:rsid w:val="001D274B"/>
    <w:rsid w:val="001D7D09"/>
    <w:rsid w:val="001E0A17"/>
    <w:rsid w:val="001E1249"/>
    <w:rsid w:val="001F01C6"/>
    <w:rsid w:val="001F7B8C"/>
    <w:rsid w:val="00203AEF"/>
    <w:rsid w:val="00205BFB"/>
    <w:rsid w:val="00206CAB"/>
    <w:rsid w:val="00207852"/>
    <w:rsid w:val="002078F5"/>
    <w:rsid w:val="00215533"/>
    <w:rsid w:val="00222848"/>
    <w:rsid w:val="002254D9"/>
    <w:rsid w:val="00234926"/>
    <w:rsid w:val="0024457C"/>
    <w:rsid w:val="00246E78"/>
    <w:rsid w:val="0025235B"/>
    <w:rsid w:val="0025254F"/>
    <w:rsid w:val="002547D9"/>
    <w:rsid w:val="0025608D"/>
    <w:rsid w:val="002616ED"/>
    <w:rsid w:val="00276033"/>
    <w:rsid w:val="00280E90"/>
    <w:rsid w:val="00281D85"/>
    <w:rsid w:val="0028219A"/>
    <w:rsid w:val="00283C77"/>
    <w:rsid w:val="00290998"/>
    <w:rsid w:val="002953A3"/>
    <w:rsid w:val="00295433"/>
    <w:rsid w:val="002A2198"/>
    <w:rsid w:val="002A656D"/>
    <w:rsid w:val="002B1196"/>
    <w:rsid w:val="002B1951"/>
    <w:rsid w:val="002B4BD2"/>
    <w:rsid w:val="002B73BC"/>
    <w:rsid w:val="002C1686"/>
    <w:rsid w:val="002C179E"/>
    <w:rsid w:val="002C3D34"/>
    <w:rsid w:val="002C46AE"/>
    <w:rsid w:val="002D1876"/>
    <w:rsid w:val="002D1A8E"/>
    <w:rsid w:val="002E6A8B"/>
    <w:rsid w:val="002F15DF"/>
    <w:rsid w:val="002F6E75"/>
    <w:rsid w:val="002F7112"/>
    <w:rsid w:val="00300868"/>
    <w:rsid w:val="00301365"/>
    <w:rsid w:val="00312652"/>
    <w:rsid w:val="003156E6"/>
    <w:rsid w:val="00317F7E"/>
    <w:rsid w:val="00322F07"/>
    <w:rsid w:val="0032454B"/>
    <w:rsid w:val="00325D41"/>
    <w:rsid w:val="003334D3"/>
    <w:rsid w:val="00336CD3"/>
    <w:rsid w:val="00345B4A"/>
    <w:rsid w:val="003477B8"/>
    <w:rsid w:val="003478CA"/>
    <w:rsid w:val="003504D6"/>
    <w:rsid w:val="00352B69"/>
    <w:rsid w:val="00363579"/>
    <w:rsid w:val="003639D7"/>
    <w:rsid w:val="00366677"/>
    <w:rsid w:val="00383CDA"/>
    <w:rsid w:val="00385889"/>
    <w:rsid w:val="003C20A1"/>
    <w:rsid w:val="003C4254"/>
    <w:rsid w:val="003C7CD4"/>
    <w:rsid w:val="003D6018"/>
    <w:rsid w:val="003E1268"/>
    <w:rsid w:val="003E2026"/>
    <w:rsid w:val="003E34C3"/>
    <w:rsid w:val="003E3C62"/>
    <w:rsid w:val="003F026A"/>
    <w:rsid w:val="003F0EE2"/>
    <w:rsid w:val="0040496C"/>
    <w:rsid w:val="0040616E"/>
    <w:rsid w:val="00414BD9"/>
    <w:rsid w:val="0041659D"/>
    <w:rsid w:val="00422A80"/>
    <w:rsid w:val="0042326E"/>
    <w:rsid w:val="00423E52"/>
    <w:rsid w:val="004245BF"/>
    <w:rsid w:val="00424F42"/>
    <w:rsid w:val="0043606A"/>
    <w:rsid w:val="00436D6E"/>
    <w:rsid w:val="0043733D"/>
    <w:rsid w:val="0044104A"/>
    <w:rsid w:val="00444072"/>
    <w:rsid w:val="00444B4E"/>
    <w:rsid w:val="00445311"/>
    <w:rsid w:val="00451C06"/>
    <w:rsid w:val="0045282C"/>
    <w:rsid w:val="00463BB2"/>
    <w:rsid w:val="0046746D"/>
    <w:rsid w:val="00467AC3"/>
    <w:rsid w:val="004718EE"/>
    <w:rsid w:val="00475D45"/>
    <w:rsid w:val="0047761D"/>
    <w:rsid w:val="00480C9D"/>
    <w:rsid w:val="00484EA8"/>
    <w:rsid w:val="00491625"/>
    <w:rsid w:val="00493788"/>
    <w:rsid w:val="004B246B"/>
    <w:rsid w:val="004C21B7"/>
    <w:rsid w:val="004C233F"/>
    <w:rsid w:val="004C3B09"/>
    <w:rsid w:val="004D4E4B"/>
    <w:rsid w:val="004D6194"/>
    <w:rsid w:val="004E0C54"/>
    <w:rsid w:val="004E2B8D"/>
    <w:rsid w:val="004F10CE"/>
    <w:rsid w:val="004F4631"/>
    <w:rsid w:val="004F4C5B"/>
    <w:rsid w:val="004F5CC1"/>
    <w:rsid w:val="00505DE9"/>
    <w:rsid w:val="00506637"/>
    <w:rsid w:val="0051056E"/>
    <w:rsid w:val="005136C5"/>
    <w:rsid w:val="00517A34"/>
    <w:rsid w:val="00526A07"/>
    <w:rsid w:val="00540B5B"/>
    <w:rsid w:val="00542E96"/>
    <w:rsid w:val="00550F5C"/>
    <w:rsid w:val="005623AF"/>
    <w:rsid w:val="005672A7"/>
    <w:rsid w:val="005674AB"/>
    <w:rsid w:val="00570218"/>
    <w:rsid w:val="00571FD2"/>
    <w:rsid w:val="005755FC"/>
    <w:rsid w:val="005813FA"/>
    <w:rsid w:val="00593F9A"/>
    <w:rsid w:val="00596FAB"/>
    <w:rsid w:val="005A11F7"/>
    <w:rsid w:val="005A39B9"/>
    <w:rsid w:val="005A4D28"/>
    <w:rsid w:val="005A6BB8"/>
    <w:rsid w:val="005C0B42"/>
    <w:rsid w:val="005C1B2E"/>
    <w:rsid w:val="005C278B"/>
    <w:rsid w:val="005C2FA0"/>
    <w:rsid w:val="005C4245"/>
    <w:rsid w:val="005C52E1"/>
    <w:rsid w:val="005D4B01"/>
    <w:rsid w:val="005D633C"/>
    <w:rsid w:val="005D7A14"/>
    <w:rsid w:val="005E220A"/>
    <w:rsid w:val="005F293D"/>
    <w:rsid w:val="005F69B0"/>
    <w:rsid w:val="006050A7"/>
    <w:rsid w:val="0061777F"/>
    <w:rsid w:val="00622126"/>
    <w:rsid w:val="00625D13"/>
    <w:rsid w:val="006262FA"/>
    <w:rsid w:val="00633FB6"/>
    <w:rsid w:val="00642C5E"/>
    <w:rsid w:val="006538A2"/>
    <w:rsid w:val="00654BA4"/>
    <w:rsid w:val="006552C1"/>
    <w:rsid w:val="00656721"/>
    <w:rsid w:val="00662952"/>
    <w:rsid w:val="006644C5"/>
    <w:rsid w:val="0066610C"/>
    <w:rsid w:val="00674235"/>
    <w:rsid w:val="00674BC3"/>
    <w:rsid w:val="00676C6B"/>
    <w:rsid w:val="00680F8F"/>
    <w:rsid w:val="00680FCA"/>
    <w:rsid w:val="006827A2"/>
    <w:rsid w:val="0068619E"/>
    <w:rsid w:val="00686F6D"/>
    <w:rsid w:val="00687E4D"/>
    <w:rsid w:val="0069057F"/>
    <w:rsid w:val="006908FD"/>
    <w:rsid w:val="0069281D"/>
    <w:rsid w:val="00693A91"/>
    <w:rsid w:val="0069497F"/>
    <w:rsid w:val="006A0C18"/>
    <w:rsid w:val="006A33F4"/>
    <w:rsid w:val="006A4725"/>
    <w:rsid w:val="006B1060"/>
    <w:rsid w:val="006B2ED2"/>
    <w:rsid w:val="006B5AA0"/>
    <w:rsid w:val="006B5B90"/>
    <w:rsid w:val="006B7884"/>
    <w:rsid w:val="006C1AAF"/>
    <w:rsid w:val="006C2502"/>
    <w:rsid w:val="006C61B4"/>
    <w:rsid w:val="006C6C9D"/>
    <w:rsid w:val="006D5CA8"/>
    <w:rsid w:val="006E25E0"/>
    <w:rsid w:val="006E3B04"/>
    <w:rsid w:val="006E459C"/>
    <w:rsid w:val="006E4A9E"/>
    <w:rsid w:val="006E6B29"/>
    <w:rsid w:val="006E7594"/>
    <w:rsid w:val="006F0041"/>
    <w:rsid w:val="006F1FE6"/>
    <w:rsid w:val="006F2544"/>
    <w:rsid w:val="006F6CBC"/>
    <w:rsid w:val="007104D8"/>
    <w:rsid w:val="007200AE"/>
    <w:rsid w:val="00720E6D"/>
    <w:rsid w:val="00721206"/>
    <w:rsid w:val="00723794"/>
    <w:rsid w:val="0072707E"/>
    <w:rsid w:val="007323F4"/>
    <w:rsid w:val="00741D3E"/>
    <w:rsid w:val="00751F8B"/>
    <w:rsid w:val="0076137E"/>
    <w:rsid w:val="00765861"/>
    <w:rsid w:val="0077248A"/>
    <w:rsid w:val="0077282E"/>
    <w:rsid w:val="00773631"/>
    <w:rsid w:val="00781CB5"/>
    <w:rsid w:val="00783FFC"/>
    <w:rsid w:val="007849AC"/>
    <w:rsid w:val="007862C6"/>
    <w:rsid w:val="0078775A"/>
    <w:rsid w:val="00790CAF"/>
    <w:rsid w:val="00790F2E"/>
    <w:rsid w:val="007911CF"/>
    <w:rsid w:val="00791D25"/>
    <w:rsid w:val="00792D07"/>
    <w:rsid w:val="00793B0F"/>
    <w:rsid w:val="007A2971"/>
    <w:rsid w:val="007B30EA"/>
    <w:rsid w:val="007B37A6"/>
    <w:rsid w:val="007C0EBD"/>
    <w:rsid w:val="007C17F6"/>
    <w:rsid w:val="007C696A"/>
    <w:rsid w:val="007E06EB"/>
    <w:rsid w:val="007E08DC"/>
    <w:rsid w:val="007F0B20"/>
    <w:rsid w:val="007F15BD"/>
    <w:rsid w:val="007F203F"/>
    <w:rsid w:val="007F4445"/>
    <w:rsid w:val="007F4A39"/>
    <w:rsid w:val="00802CDC"/>
    <w:rsid w:val="008045A3"/>
    <w:rsid w:val="0080603D"/>
    <w:rsid w:val="00810919"/>
    <w:rsid w:val="00810E67"/>
    <w:rsid w:val="00820714"/>
    <w:rsid w:val="00832524"/>
    <w:rsid w:val="008410F8"/>
    <w:rsid w:val="008427B2"/>
    <w:rsid w:val="00842C7D"/>
    <w:rsid w:val="008433D6"/>
    <w:rsid w:val="00850151"/>
    <w:rsid w:val="008511D6"/>
    <w:rsid w:val="00860EE2"/>
    <w:rsid w:val="00867C50"/>
    <w:rsid w:val="0087167F"/>
    <w:rsid w:val="00874BB2"/>
    <w:rsid w:val="00874C6C"/>
    <w:rsid w:val="00880E98"/>
    <w:rsid w:val="00883BF2"/>
    <w:rsid w:val="008911F1"/>
    <w:rsid w:val="008A2AF6"/>
    <w:rsid w:val="008A7CF8"/>
    <w:rsid w:val="008B3681"/>
    <w:rsid w:val="008B5F68"/>
    <w:rsid w:val="008C3A02"/>
    <w:rsid w:val="008D7022"/>
    <w:rsid w:val="008E1EE5"/>
    <w:rsid w:val="008E279E"/>
    <w:rsid w:val="008F68ED"/>
    <w:rsid w:val="00903C5F"/>
    <w:rsid w:val="00906871"/>
    <w:rsid w:val="00910D26"/>
    <w:rsid w:val="0091110E"/>
    <w:rsid w:val="00911306"/>
    <w:rsid w:val="00913F7E"/>
    <w:rsid w:val="00916342"/>
    <w:rsid w:val="0092411D"/>
    <w:rsid w:val="00924BEA"/>
    <w:rsid w:val="009335C4"/>
    <w:rsid w:val="00936996"/>
    <w:rsid w:val="0094668D"/>
    <w:rsid w:val="00946C62"/>
    <w:rsid w:val="009564F3"/>
    <w:rsid w:val="00965985"/>
    <w:rsid w:val="009673BF"/>
    <w:rsid w:val="0097117C"/>
    <w:rsid w:val="009850BE"/>
    <w:rsid w:val="00986168"/>
    <w:rsid w:val="00991464"/>
    <w:rsid w:val="009916C8"/>
    <w:rsid w:val="0099382F"/>
    <w:rsid w:val="0099595D"/>
    <w:rsid w:val="00997052"/>
    <w:rsid w:val="009A7430"/>
    <w:rsid w:val="009B0F7A"/>
    <w:rsid w:val="009B58D4"/>
    <w:rsid w:val="009C0D1A"/>
    <w:rsid w:val="009C22A6"/>
    <w:rsid w:val="009C36BB"/>
    <w:rsid w:val="009C7BD4"/>
    <w:rsid w:val="009D0C8D"/>
    <w:rsid w:val="009D36A8"/>
    <w:rsid w:val="009E0606"/>
    <w:rsid w:val="009F05E3"/>
    <w:rsid w:val="009F152E"/>
    <w:rsid w:val="009F60E3"/>
    <w:rsid w:val="00A019A8"/>
    <w:rsid w:val="00A022A1"/>
    <w:rsid w:val="00A037D1"/>
    <w:rsid w:val="00A04B06"/>
    <w:rsid w:val="00A1546E"/>
    <w:rsid w:val="00A157A1"/>
    <w:rsid w:val="00A16528"/>
    <w:rsid w:val="00A17A4A"/>
    <w:rsid w:val="00A22759"/>
    <w:rsid w:val="00A24E1E"/>
    <w:rsid w:val="00A32641"/>
    <w:rsid w:val="00A3678F"/>
    <w:rsid w:val="00A37504"/>
    <w:rsid w:val="00A46F76"/>
    <w:rsid w:val="00A53940"/>
    <w:rsid w:val="00A54088"/>
    <w:rsid w:val="00A6439A"/>
    <w:rsid w:val="00A7231D"/>
    <w:rsid w:val="00A72C3F"/>
    <w:rsid w:val="00A73197"/>
    <w:rsid w:val="00A741F4"/>
    <w:rsid w:val="00A76E4D"/>
    <w:rsid w:val="00A906F1"/>
    <w:rsid w:val="00A90937"/>
    <w:rsid w:val="00A93CA0"/>
    <w:rsid w:val="00A95B4A"/>
    <w:rsid w:val="00AA623E"/>
    <w:rsid w:val="00AA63AA"/>
    <w:rsid w:val="00AB4BEC"/>
    <w:rsid w:val="00AC58CA"/>
    <w:rsid w:val="00AC79A8"/>
    <w:rsid w:val="00AD2530"/>
    <w:rsid w:val="00AD578F"/>
    <w:rsid w:val="00AD7A84"/>
    <w:rsid w:val="00AE3C58"/>
    <w:rsid w:val="00AE547E"/>
    <w:rsid w:val="00B05CE8"/>
    <w:rsid w:val="00B16D72"/>
    <w:rsid w:val="00B24064"/>
    <w:rsid w:val="00B31D2B"/>
    <w:rsid w:val="00B335A1"/>
    <w:rsid w:val="00B43783"/>
    <w:rsid w:val="00B43984"/>
    <w:rsid w:val="00B45F58"/>
    <w:rsid w:val="00B47493"/>
    <w:rsid w:val="00B51A4E"/>
    <w:rsid w:val="00B65E69"/>
    <w:rsid w:val="00B71D47"/>
    <w:rsid w:val="00B81461"/>
    <w:rsid w:val="00B8306F"/>
    <w:rsid w:val="00B8575C"/>
    <w:rsid w:val="00B87002"/>
    <w:rsid w:val="00B906FA"/>
    <w:rsid w:val="00B94524"/>
    <w:rsid w:val="00B95FDC"/>
    <w:rsid w:val="00B977C3"/>
    <w:rsid w:val="00BB16CA"/>
    <w:rsid w:val="00BB73B0"/>
    <w:rsid w:val="00BC195E"/>
    <w:rsid w:val="00BC3AFE"/>
    <w:rsid w:val="00BC5EC6"/>
    <w:rsid w:val="00BC71D0"/>
    <w:rsid w:val="00BD0081"/>
    <w:rsid w:val="00BE0C7B"/>
    <w:rsid w:val="00BE1545"/>
    <w:rsid w:val="00BE53D0"/>
    <w:rsid w:val="00BE64E6"/>
    <w:rsid w:val="00BE7178"/>
    <w:rsid w:val="00BF0BDC"/>
    <w:rsid w:val="00BF4C46"/>
    <w:rsid w:val="00BF5FBD"/>
    <w:rsid w:val="00BF781A"/>
    <w:rsid w:val="00C06EDD"/>
    <w:rsid w:val="00C1090E"/>
    <w:rsid w:val="00C109DD"/>
    <w:rsid w:val="00C11C58"/>
    <w:rsid w:val="00C157F4"/>
    <w:rsid w:val="00C165F1"/>
    <w:rsid w:val="00C170C2"/>
    <w:rsid w:val="00C309D4"/>
    <w:rsid w:val="00C327B9"/>
    <w:rsid w:val="00C37A45"/>
    <w:rsid w:val="00C454FE"/>
    <w:rsid w:val="00C47FF5"/>
    <w:rsid w:val="00C542ED"/>
    <w:rsid w:val="00C63C0D"/>
    <w:rsid w:val="00C6774A"/>
    <w:rsid w:val="00C7255C"/>
    <w:rsid w:val="00C72F32"/>
    <w:rsid w:val="00C769F2"/>
    <w:rsid w:val="00C81CD9"/>
    <w:rsid w:val="00C825D8"/>
    <w:rsid w:val="00C83AFF"/>
    <w:rsid w:val="00C8464B"/>
    <w:rsid w:val="00C97A3D"/>
    <w:rsid w:val="00CA421E"/>
    <w:rsid w:val="00CA5253"/>
    <w:rsid w:val="00CB12F8"/>
    <w:rsid w:val="00CC1402"/>
    <w:rsid w:val="00CC2FB5"/>
    <w:rsid w:val="00CC4B3B"/>
    <w:rsid w:val="00CC620B"/>
    <w:rsid w:val="00CD0420"/>
    <w:rsid w:val="00CD1C28"/>
    <w:rsid w:val="00CE40D8"/>
    <w:rsid w:val="00CE6C03"/>
    <w:rsid w:val="00CF21AD"/>
    <w:rsid w:val="00CF6CF5"/>
    <w:rsid w:val="00D02016"/>
    <w:rsid w:val="00D07D9C"/>
    <w:rsid w:val="00D12101"/>
    <w:rsid w:val="00D158B8"/>
    <w:rsid w:val="00D24628"/>
    <w:rsid w:val="00D25769"/>
    <w:rsid w:val="00D31AA9"/>
    <w:rsid w:val="00D32E43"/>
    <w:rsid w:val="00D3709B"/>
    <w:rsid w:val="00D42ADE"/>
    <w:rsid w:val="00D4505B"/>
    <w:rsid w:val="00D45D75"/>
    <w:rsid w:val="00D46AB3"/>
    <w:rsid w:val="00D4736D"/>
    <w:rsid w:val="00D60AC6"/>
    <w:rsid w:val="00D6570B"/>
    <w:rsid w:val="00D66364"/>
    <w:rsid w:val="00D70B90"/>
    <w:rsid w:val="00D77AC7"/>
    <w:rsid w:val="00D8049F"/>
    <w:rsid w:val="00D824F4"/>
    <w:rsid w:val="00D8352A"/>
    <w:rsid w:val="00D8703B"/>
    <w:rsid w:val="00DA24B9"/>
    <w:rsid w:val="00DB098F"/>
    <w:rsid w:val="00DB4E76"/>
    <w:rsid w:val="00DB7EEE"/>
    <w:rsid w:val="00DC46E4"/>
    <w:rsid w:val="00DC4A61"/>
    <w:rsid w:val="00DD043D"/>
    <w:rsid w:val="00DD1363"/>
    <w:rsid w:val="00DD2AE7"/>
    <w:rsid w:val="00DD50A7"/>
    <w:rsid w:val="00DE3091"/>
    <w:rsid w:val="00DF021F"/>
    <w:rsid w:val="00DF2D1C"/>
    <w:rsid w:val="00E04B8D"/>
    <w:rsid w:val="00E04CFE"/>
    <w:rsid w:val="00E06D8E"/>
    <w:rsid w:val="00E10BC4"/>
    <w:rsid w:val="00E17AFB"/>
    <w:rsid w:val="00E321BE"/>
    <w:rsid w:val="00E3392E"/>
    <w:rsid w:val="00E42749"/>
    <w:rsid w:val="00E44226"/>
    <w:rsid w:val="00E50F7D"/>
    <w:rsid w:val="00E50FE3"/>
    <w:rsid w:val="00E549EC"/>
    <w:rsid w:val="00E64C6A"/>
    <w:rsid w:val="00E65A06"/>
    <w:rsid w:val="00E707E1"/>
    <w:rsid w:val="00E71DEE"/>
    <w:rsid w:val="00E742DB"/>
    <w:rsid w:val="00E757E7"/>
    <w:rsid w:val="00E75922"/>
    <w:rsid w:val="00E83201"/>
    <w:rsid w:val="00E855C2"/>
    <w:rsid w:val="00E86009"/>
    <w:rsid w:val="00E90623"/>
    <w:rsid w:val="00E90ED9"/>
    <w:rsid w:val="00E912A4"/>
    <w:rsid w:val="00E959AD"/>
    <w:rsid w:val="00EA3142"/>
    <w:rsid w:val="00EA32C0"/>
    <w:rsid w:val="00EA6ACF"/>
    <w:rsid w:val="00EA7782"/>
    <w:rsid w:val="00EB2D8F"/>
    <w:rsid w:val="00EB36B1"/>
    <w:rsid w:val="00EB399C"/>
    <w:rsid w:val="00EC0A26"/>
    <w:rsid w:val="00EC5847"/>
    <w:rsid w:val="00EC5D78"/>
    <w:rsid w:val="00ED7D16"/>
    <w:rsid w:val="00EF638C"/>
    <w:rsid w:val="00F019A6"/>
    <w:rsid w:val="00F027F8"/>
    <w:rsid w:val="00F2043C"/>
    <w:rsid w:val="00F21FB2"/>
    <w:rsid w:val="00F2234A"/>
    <w:rsid w:val="00F23BFA"/>
    <w:rsid w:val="00F24976"/>
    <w:rsid w:val="00F27C34"/>
    <w:rsid w:val="00F32521"/>
    <w:rsid w:val="00F41DA5"/>
    <w:rsid w:val="00F43F36"/>
    <w:rsid w:val="00F51424"/>
    <w:rsid w:val="00F5613D"/>
    <w:rsid w:val="00F62451"/>
    <w:rsid w:val="00F720A4"/>
    <w:rsid w:val="00F73D1A"/>
    <w:rsid w:val="00F75382"/>
    <w:rsid w:val="00F77BB6"/>
    <w:rsid w:val="00F84005"/>
    <w:rsid w:val="00FA2166"/>
    <w:rsid w:val="00FA675D"/>
    <w:rsid w:val="00FB4D51"/>
    <w:rsid w:val="00FB69D7"/>
    <w:rsid w:val="00FB7648"/>
    <w:rsid w:val="00FC01F8"/>
    <w:rsid w:val="00FC357F"/>
    <w:rsid w:val="00FE5600"/>
    <w:rsid w:val="00FF2EA4"/>
    <w:rsid w:val="00FF7A49"/>
    <w:rsid w:val="013D4B60"/>
    <w:rsid w:val="0140055C"/>
    <w:rsid w:val="014060AE"/>
    <w:rsid w:val="01626374"/>
    <w:rsid w:val="01934780"/>
    <w:rsid w:val="01B14C06"/>
    <w:rsid w:val="01E07299"/>
    <w:rsid w:val="01EF572E"/>
    <w:rsid w:val="023F6BF7"/>
    <w:rsid w:val="02792ED8"/>
    <w:rsid w:val="028F7400"/>
    <w:rsid w:val="029167E5"/>
    <w:rsid w:val="02AA213A"/>
    <w:rsid w:val="02B50726"/>
    <w:rsid w:val="02BF3353"/>
    <w:rsid w:val="02BF4272"/>
    <w:rsid w:val="02C170CB"/>
    <w:rsid w:val="03082F4B"/>
    <w:rsid w:val="030F42DA"/>
    <w:rsid w:val="03217B69"/>
    <w:rsid w:val="036A7762"/>
    <w:rsid w:val="03834843"/>
    <w:rsid w:val="038E0721"/>
    <w:rsid w:val="039842CF"/>
    <w:rsid w:val="03E544D2"/>
    <w:rsid w:val="03F92894"/>
    <w:rsid w:val="04003C23"/>
    <w:rsid w:val="041D2384"/>
    <w:rsid w:val="04294F27"/>
    <w:rsid w:val="04A30958"/>
    <w:rsid w:val="04A722F0"/>
    <w:rsid w:val="04C2712A"/>
    <w:rsid w:val="04DF1F2B"/>
    <w:rsid w:val="04E83035"/>
    <w:rsid w:val="04ED2D68"/>
    <w:rsid w:val="05254A5F"/>
    <w:rsid w:val="058F525E"/>
    <w:rsid w:val="059C75DF"/>
    <w:rsid w:val="059D6B84"/>
    <w:rsid w:val="05AC5C0F"/>
    <w:rsid w:val="05DB04A3"/>
    <w:rsid w:val="06262C6B"/>
    <w:rsid w:val="063858F6"/>
    <w:rsid w:val="063E2D45"/>
    <w:rsid w:val="068428E9"/>
    <w:rsid w:val="06A55C71"/>
    <w:rsid w:val="06A8191B"/>
    <w:rsid w:val="06CD79BD"/>
    <w:rsid w:val="06F53E3D"/>
    <w:rsid w:val="07391925"/>
    <w:rsid w:val="075926EA"/>
    <w:rsid w:val="07987FF3"/>
    <w:rsid w:val="079D1FBD"/>
    <w:rsid w:val="07B216D8"/>
    <w:rsid w:val="07C872B1"/>
    <w:rsid w:val="07D94EB6"/>
    <w:rsid w:val="07DB005B"/>
    <w:rsid w:val="07DC2099"/>
    <w:rsid w:val="07E01DA1"/>
    <w:rsid w:val="07F65A68"/>
    <w:rsid w:val="07FC04D8"/>
    <w:rsid w:val="086A1FB2"/>
    <w:rsid w:val="087C7B4E"/>
    <w:rsid w:val="08CD3E70"/>
    <w:rsid w:val="08F301FA"/>
    <w:rsid w:val="0920720C"/>
    <w:rsid w:val="09223CC6"/>
    <w:rsid w:val="09271C52"/>
    <w:rsid w:val="092B2F79"/>
    <w:rsid w:val="093F6F9B"/>
    <w:rsid w:val="09EB4C3D"/>
    <w:rsid w:val="0A00497C"/>
    <w:rsid w:val="0A140428"/>
    <w:rsid w:val="0A232419"/>
    <w:rsid w:val="0A99092D"/>
    <w:rsid w:val="0AAE262A"/>
    <w:rsid w:val="0AAF0151"/>
    <w:rsid w:val="0ADC163F"/>
    <w:rsid w:val="0AF838A6"/>
    <w:rsid w:val="0B2B471F"/>
    <w:rsid w:val="0B310B66"/>
    <w:rsid w:val="0B3D575C"/>
    <w:rsid w:val="0B521208"/>
    <w:rsid w:val="0B5433D5"/>
    <w:rsid w:val="0B61769D"/>
    <w:rsid w:val="0B6179E3"/>
    <w:rsid w:val="0B696551"/>
    <w:rsid w:val="0B8C708E"/>
    <w:rsid w:val="0BA871E7"/>
    <w:rsid w:val="0BB7681F"/>
    <w:rsid w:val="0C004B2C"/>
    <w:rsid w:val="0C0D15D3"/>
    <w:rsid w:val="0C126BE9"/>
    <w:rsid w:val="0C2267DE"/>
    <w:rsid w:val="0C676F35"/>
    <w:rsid w:val="0C737F89"/>
    <w:rsid w:val="0C753FAF"/>
    <w:rsid w:val="0C807CE3"/>
    <w:rsid w:val="0CC779D3"/>
    <w:rsid w:val="0D10137A"/>
    <w:rsid w:val="0D1F5EA6"/>
    <w:rsid w:val="0D2E35AF"/>
    <w:rsid w:val="0D3A1F53"/>
    <w:rsid w:val="0D511BCD"/>
    <w:rsid w:val="0D627972"/>
    <w:rsid w:val="0D6B4803"/>
    <w:rsid w:val="0D7116ED"/>
    <w:rsid w:val="0D774F56"/>
    <w:rsid w:val="0D9A2F32"/>
    <w:rsid w:val="0DB717F6"/>
    <w:rsid w:val="0E1B13CE"/>
    <w:rsid w:val="0E3C7F4D"/>
    <w:rsid w:val="0E4F5ED2"/>
    <w:rsid w:val="0E52151F"/>
    <w:rsid w:val="0E574D87"/>
    <w:rsid w:val="0E8F4521"/>
    <w:rsid w:val="0EB9334C"/>
    <w:rsid w:val="0EC341CA"/>
    <w:rsid w:val="0EEF6D6E"/>
    <w:rsid w:val="0F087E2F"/>
    <w:rsid w:val="0F0E57E7"/>
    <w:rsid w:val="0F713C26"/>
    <w:rsid w:val="0F851480"/>
    <w:rsid w:val="0FA2403E"/>
    <w:rsid w:val="0FA364D6"/>
    <w:rsid w:val="0FAB7138"/>
    <w:rsid w:val="0FBA55CD"/>
    <w:rsid w:val="0FDD306A"/>
    <w:rsid w:val="0FE32D76"/>
    <w:rsid w:val="0FFA0E2A"/>
    <w:rsid w:val="10090D8C"/>
    <w:rsid w:val="10262D37"/>
    <w:rsid w:val="105C6685"/>
    <w:rsid w:val="106A6FF4"/>
    <w:rsid w:val="107F26DA"/>
    <w:rsid w:val="10DB6D7F"/>
    <w:rsid w:val="112F78F5"/>
    <w:rsid w:val="119F74B6"/>
    <w:rsid w:val="11B318DC"/>
    <w:rsid w:val="11B545A0"/>
    <w:rsid w:val="121F3E0E"/>
    <w:rsid w:val="12353631"/>
    <w:rsid w:val="125C471A"/>
    <w:rsid w:val="126B2BAF"/>
    <w:rsid w:val="12723F3D"/>
    <w:rsid w:val="12996038"/>
    <w:rsid w:val="12A06CFD"/>
    <w:rsid w:val="12AB744F"/>
    <w:rsid w:val="12CC7AF2"/>
    <w:rsid w:val="12CD5AA9"/>
    <w:rsid w:val="12FD57C9"/>
    <w:rsid w:val="130628D8"/>
    <w:rsid w:val="13511DA5"/>
    <w:rsid w:val="135D4DFE"/>
    <w:rsid w:val="13743CE5"/>
    <w:rsid w:val="1381162F"/>
    <w:rsid w:val="13A50343"/>
    <w:rsid w:val="13BB36C2"/>
    <w:rsid w:val="13CE6FBC"/>
    <w:rsid w:val="13E26254"/>
    <w:rsid w:val="13FB7F63"/>
    <w:rsid w:val="141100A3"/>
    <w:rsid w:val="14112D87"/>
    <w:rsid w:val="14270D58"/>
    <w:rsid w:val="14377C0F"/>
    <w:rsid w:val="14575E03"/>
    <w:rsid w:val="14643D5A"/>
    <w:rsid w:val="14706B0E"/>
    <w:rsid w:val="14A72759"/>
    <w:rsid w:val="14D013EF"/>
    <w:rsid w:val="14D666DB"/>
    <w:rsid w:val="14ED3D4F"/>
    <w:rsid w:val="14EF4045"/>
    <w:rsid w:val="150D43F1"/>
    <w:rsid w:val="15132AEA"/>
    <w:rsid w:val="152F25BA"/>
    <w:rsid w:val="15323EC6"/>
    <w:rsid w:val="153951E6"/>
    <w:rsid w:val="154716B1"/>
    <w:rsid w:val="156D4E90"/>
    <w:rsid w:val="157A0988"/>
    <w:rsid w:val="15B66837"/>
    <w:rsid w:val="15DD0268"/>
    <w:rsid w:val="16003D72"/>
    <w:rsid w:val="160C46A9"/>
    <w:rsid w:val="16721235"/>
    <w:rsid w:val="169C77DB"/>
    <w:rsid w:val="16B54D41"/>
    <w:rsid w:val="16D263AA"/>
    <w:rsid w:val="17301C97"/>
    <w:rsid w:val="17306C2D"/>
    <w:rsid w:val="17A54DB5"/>
    <w:rsid w:val="17D64F6F"/>
    <w:rsid w:val="17E51656"/>
    <w:rsid w:val="17F13B56"/>
    <w:rsid w:val="1807554D"/>
    <w:rsid w:val="1817007E"/>
    <w:rsid w:val="18267AB6"/>
    <w:rsid w:val="184A0AFE"/>
    <w:rsid w:val="187A3D17"/>
    <w:rsid w:val="189A2440"/>
    <w:rsid w:val="18B1527A"/>
    <w:rsid w:val="18E157CD"/>
    <w:rsid w:val="18F8681E"/>
    <w:rsid w:val="19681ACB"/>
    <w:rsid w:val="196A1E12"/>
    <w:rsid w:val="196F0E85"/>
    <w:rsid w:val="197B7B7C"/>
    <w:rsid w:val="19836A30"/>
    <w:rsid w:val="19CE57F5"/>
    <w:rsid w:val="19DE5CD3"/>
    <w:rsid w:val="19E92EA6"/>
    <w:rsid w:val="1A004525"/>
    <w:rsid w:val="1A1C3315"/>
    <w:rsid w:val="1A2A2549"/>
    <w:rsid w:val="1A2F0A01"/>
    <w:rsid w:val="1A3146DE"/>
    <w:rsid w:val="1A4408B5"/>
    <w:rsid w:val="1A4D657E"/>
    <w:rsid w:val="1A8446CF"/>
    <w:rsid w:val="1A9A6727"/>
    <w:rsid w:val="1ABF618E"/>
    <w:rsid w:val="1B3609F4"/>
    <w:rsid w:val="1B453BC2"/>
    <w:rsid w:val="1B4A1EFB"/>
    <w:rsid w:val="1B6C2FEB"/>
    <w:rsid w:val="1B7A3E63"/>
    <w:rsid w:val="1B9626C7"/>
    <w:rsid w:val="1BB11F7A"/>
    <w:rsid w:val="1BD712B5"/>
    <w:rsid w:val="1BE51C24"/>
    <w:rsid w:val="1BF77544"/>
    <w:rsid w:val="1BFC2ACA"/>
    <w:rsid w:val="1BFE3C24"/>
    <w:rsid w:val="1C2E5379"/>
    <w:rsid w:val="1C334DB0"/>
    <w:rsid w:val="1C4B7CFE"/>
    <w:rsid w:val="1C8342E7"/>
    <w:rsid w:val="1CAA72F4"/>
    <w:rsid w:val="1CE7377A"/>
    <w:rsid w:val="1CF03B3E"/>
    <w:rsid w:val="1CF85987"/>
    <w:rsid w:val="1D3369BF"/>
    <w:rsid w:val="1D6E79F7"/>
    <w:rsid w:val="1D7B31AC"/>
    <w:rsid w:val="1D7E536E"/>
    <w:rsid w:val="1D892944"/>
    <w:rsid w:val="1D8C29A2"/>
    <w:rsid w:val="1DA11ABB"/>
    <w:rsid w:val="1DAD2A8C"/>
    <w:rsid w:val="1DB02D64"/>
    <w:rsid w:val="1DBE0FD6"/>
    <w:rsid w:val="1DCF66E8"/>
    <w:rsid w:val="1DD7559C"/>
    <w:rsid w:val="1E1823CB"/>
    <w:rsid w:val="1E575166"/>
    <w:rsid w:val="1E6F7E6E"/>
    <w:rsid w:val="1E71154D"/>
    <w:rsid w:val="1E9A4F48"/>
    <w:rsid w:val="1E9C236D"/>
    <w:rsid w:val="1EA534EA"/>
    <w:rsid w:val="1EDF6DFF"/>
    <w:rsid w:val="1EE61F3B"/>
    <w:rsid w:val="1F16734A"/>
    <w:rsid w:val="1F470500"/>
    <w:rsid w:val="1F8E612F"/>
    <w:rsid w:val="1FE65F6B"/>
    <w:rsid w:val="1FFE758D"/>
    <w:rsid w:val="200F7270"/>
    <w:rsid w:val="20140D2A"/>
    <w:rsid w:val="201C7BDE"/>
    <w:rsid w:val="202E0E7A"/>
    <w:rsid w:val="206155F1"/>
    <w:rsid w:val="206B351C"/>
    <w:rsid w:val="20A0611A"/>
    <w:rsid w:val="20F748D2"/>
    <w:rsid w:val="2107263D"/>
    <w:rsid w:val="212154AC"/>
    <w:rsid w:val="21240AF9"/>
    <w:rsid w:val="21762C7C"/>
    <w:rsid w:val="21AD6D40"/>
    <w:rsid w:val="21E40288"/>
    <w:rsid w:val="222A7D8F"/>
    <w:rsid w:val="225464D8"/>
    <w:rsid w:val="22D93B65"/>
    <w:rsid w:val="22F132C7"/>
    <w:rsid w:val="23303578"/>
    <w:rsid w:val="233660B1"/>
    <w:rsid w:val="23416A94"/>
    <w:rsid w:val="234F597E"/>
    <w:rsid w:val="23693AAA"/>
    <w:rsid w:val="23733FB9"/>
    <w:rsid w:val="23952182"/>
    <w:rsid w:val="23A64C05"/>
    <w:rsid w:val="23B95264"/>
    <w:rsid w:val="23BC5A3E"/>
    <w:rsid w:val="23D1216B"/>
    <w:rsid w:val="23D22A8E"/>
    <w:rsid w:val="23E34E2B"/>
    <w:rsid w:val="23E9602A"/>
    <w:rsid w:val="23F52C20"/>
    <w:rsid w:val="23FC5CD6"/>
    <w:rsid w:val="241906BD"/>
    <w:rsid w:val="242A1D2A"/>
    <w:rsid w:val="244823F9"/>
    <w:rsid w:val="247578BD"/>
    <w:rsid w:val="247D2136"/>
    <w:rsid w:val="249245FF"/>
    <w:rsid w:val="24BB45CA"/>
    <w:rsid w:val="24FF2FC1"/>
    <w:rsid w:val="25245D32"/>
    <w:rsid w:val="25276E09"/>
    <w:rsid w:val="25787421"/>
    <w:rsid w:val="25900E53"/>
    <w:rsid w:val="25902C01"/>
    <w:rsid w:val="25B83F05"/>
    <w:rsid w:val="25ED6EF5"/>
    <w:rsid w:val="261C6242"/>
    <w:rsid w:val="26403701"/>
    <w:rsid w:val="265E685B"/>
    <w:rsid w:val="26802C75"/>
    <w:rsid w:val="26832765"/>
    <w:rsid w:val="26887D7C"/>
    <w:rsid w:val="26AB5FE8"/>
    <w:rsid w:val="26D63198"/>
    <w:rsid w:val="26F17200"/>
    <w:rsid w:val="271C2272"/>
    <w:rsid w:val="27455C6D"/>
    <w:rsid w:val="274979CF"/>
    <w:rsid w:val="275210BB"/>
    <w:rsid w:val="278B59A1"/>
    <w:rsid w:val="27AF13DE"/>
    <w:rsid w:val="27CE4332"/>
    <w:rsid w:val="27E15995"/>
    <w:rsid w:val="27F42B67"/>
    <w:rsid w:val="27FF406E"/>
    <w:rsid w:val="28685E58"/>
    <w:rsid w:val="286D4306"/>
    <w:rsid w:val="289C366A"/>
    <w:rsid w:val="28B4293C"/>
    <w:rsid w:val="290B39DC"/>
    <w:rsid w:val="291A267D"/>
    <w:rsid w:val="29736AC1"/>
    <w:rsid w:val="297E06D5"/>
    <w:rsid w:val="29C450D6"/>
    <w:rsid w:val="29DD040A"/>
    <w:rsid w:val="2A0406E2"/>
    <w:rsid w:val="2A0656A8"/>
    <w:rsid w:val="2A144FA4"/>
    <w:rsid w:val="2A2E2F91"/>
    <w:rsid w:val="2A32577F"/>
    <w:rsid w:val="2A5E64A2"/>
    <w:rsid w:val="2A742AF1"/>
    <w:rsid w:val="2AB033FD"/>
    <w:rsid w:val="2ABE71EB"/>
    <w:rsid w:val="2AC12217"/>
    <w:rsid w:val="2ADA2EAB"/>
    <w:rsid w:val="2AF7727E"/>
    <w:rsid w:val="2B3F2232"/>
    <w:rsid w:val="2B604E23"/>
    <w:rsid w:val="2B6E2239"/>
    <w:rsid w:val="2B8C5C18"/>
    <w:rsid w:val="2BA75E7D"/>
    <w:rsid w:val="2BBD2276"/>
    <w:rsid w:val="2C0833AD"/>
    <w:rsid w:val="2C1005F7"/>
    <w:rsid w:val="2C5D5807"/>
    <w:rsid w:val="2C8478F1"/>
    <w:rsid w:val="2C9C00DD"/>
    <w:rsid w:val="2C9F5E1F"/>
    <w:rsid w:val="2CBB1699"/>
    <w:rsid w:val="2CD51841"/>
    <w:rsid w:val="2CFB6EDA"/>
    <w:rsid w:val="2D0F6B01"/>
    <w:rsid w:val="2D1F0559"/>
    <w:rsid w:val="2D263DE6"/>
    <w:rsid w:val="2D483DC1"/>
    <w:rsid w:val="2D5B1D46"/>
    <w:rsid w:val="2D6B0DD5"/>
    <w:rsid w:val="2D8D5C78"/>
    <w:rsid w:val="2D960268"/>
    <w:rsid w:val="2DA03BFD"/>
    <w:rsid w:val="2DA82AB1"/>
    <w:rsid w:val="2DBF0527"/>
    <w:rsid w:val="2DCC2C44"/>
    <w:rsid w:val="2DCE2518"/>
    <w:rsid w:val="2DF42578"/>
    <w:rsid w:val="2E6E3CFB"/>
    <w:rsid w:val="2E7A26A0"/>
    <w:rsid w:val="2E9A5C51"/>
    <w:rsid w:val="2EEB70FA"/>
    <w:rsid w:val="2F3A598B"/>
    <w:rsid w:val="2F8F5CD7"/>
    <w:rsid w:val="2FAD513C"/>
    <w:rsid w:val="2FBC45F2"/>
    <w:rsid w:val="2FC040E2"/>
    <w:rsid w:val="2FC11C09"/>
    <w:rsid w:val="2FC736C3"/>
    <w:rsid w:val="2FC9123E"/>
    <w:rsid w:val="2FD70A97"/>
    <w:rsid w:val="2FE33354"/>
    <w:rsid w:val="2FE93BA0"/>
    <w:rsid w:val="3024522F"/>
    <w:rsid w:val="302F14C5"/>
    <w:rsid w:val="305D1EAE"/>
    <w:rsid w:val="307355F9"/>
    <w:rsid w:val="307D1FD3"/>
    <w:rsid w:val="309914C3"/>
    <w:rsid w:val="30C85944"/>
    <w:rsid w:val="313703D4"/>
    <w:rsid w:val="313D086B"/>
    <w:rsid w:val="318D26EA"/>
    <w:rsid w:val="318F2491"/>
    <w:rsid w:val="31BC4D7D"/>
    <w:rsid w:val="31C51E84"/>
    <w:rsid w:val="31E0281A"/>
    <w:rsid w:val="321E3342"/>
    <w:rsid w:val="322E5C7B"/>
    <w:rsid w:val="32556806"/>
    <w:rsid w:val="325F5E35"/>
    <w:rsid w:val="328D1382"/>
    <w:rsid w:val="32AE391B"/>
    <w:rsid w:val="32E225C2"/>
    <w:rsid w:val="33122352"/>
    <w:rsid w:val="33355BB1"/>
    <w:rsid w:val="33402EB9"/>
    <w:rsid w:val="3341553A"/>
    <w:rsid w:val="33596D28"/>
    <w:rsid w:val="33597626"/>
    <w:rsid w:val="339E7C5E"/>
    <w:rsid w:val="33A930DF"/>
    <w:rsid w:val="33B95A18"/>
    <w:rsid w:val="33BF47D9"/>
    <w:rsid w:val="33D66175"/>
    <w:rsid w:val="33E81099"/>
    <w:rsid w:val="33ED199E"/>
    <w:rsid w:val="33F86541"/>
    <w:rsid w:val="342866FA"/>
    <w:rsid w:val="342B1D46"/>
    <w:rsid w:val="343565EA"/>
    <w:rsid w:val="3437693D"/>
    <w:rsid w:val="344828F8"/>
    <w:rsid w:val="344E78F1"/>
    <w:rsid w:val="344F51A3"/>
    <w:rsid w:val="346C7B0F"/>
    <w:rsid w:val="34764968"/>
    <w:rsid w:val="34AA5361"/>
    <w:rsid w:val="3502519D"/>
    <w:rsid w:val="350C7DCA"/>
    <w:rsid w:val="351A24E7"/>
    <w:rsid w:val="35213875"/>
    <w:rsid w:val="352443E9"/>
    <w:rsid w:val="353F1F4D"/>
    <w:rsid w:val="358856A2"/>
    <w:rsid w:val="358B3826"/>
    <w:rsid w:val="35A26038"/>
    <w:rsid w:val="35B74E24"/>
    <w:rsid w:val="35DA1C76"/>
    <w:rsid w:val="35E72E2A"/>
    <w:rsid w:val="35EA4102"/>
    <w:rsid w:val="36140CE4"/>
    <w:rsid w:val="36B61A84"/>
    <w:rsid w:val="36DF7544"/>
    <w:rsid w:val="37031F9E"/>
    <w:rsid w:val="371D1E1A"/>
    <w:rsid w:val="37A442EA"/>
    <w:rsid w:val="37AC1C74"/>
    <w:rsid w:val="37AC319E"/>
    <w:rsid w:val="37BFA028"/>
    <w:rsid w:val="37CD1DE7"/>
    <w:rsid w:val="37DD6BEF"/>
    <w:rsid w:val="37E67948"/>
    <w:rsid w:val="38060B00"/>
    <w:rsid w:val="380A6843"/>
    <w:rsid w:val="38186329"/>
    <w:rsid w:val="38392C84"/>
    <w:rsid w:val="38451629"/>
    <w:rsid w:val="388303A3"/>
    <w:rsid w:val="388F4F9A"/>
    <w:rsid w:val="38B55CC7"/>
    <w:rsid w:val="38B635B7"/>
    <w:rsid w:val="38E03E10"/>
    <w:rsid w:val="391060DB"/>
    <w:rsid w:val="39167469"/>
    <w:rsid w:val="391B05DB"/>
    <w:rsid w:val="391D25A6"/>
    <w:rsid w:val="392A6A70"/>
    <w:rsid w:val="39555AB9"/>
    <w:rsid w:val="395E52C3"/>
    <w:rsid w:val="39756A74"/>
    <w:rsid w:val="39785A2E"/>
    <w:rsid w:val="39C20F5B"/>
    <w:rsid w:val="39D07618"/>
    <w:rsid w:val="39EE291F"/>
    <w:rsid w:val="3A2E433E"/>
    <w:rsid w:val="3A361B03"/>
    <w:rsid w:val="3A3942DF"/>
    <w:rsid w:val="3A52002D"/>
    <w:rsid w:val="3A695746"/>
    <w:rsid w:val="3ACA050B"/>
    <w:rsid w:val="3AD35612"/>
    <w:rsid w:val="3AEA4709"/>
    <w:rsid w:val="3AEB1C60"/>
    <w:rsid w:val="3B0A6B5A"/>
    <w:rsid w:val="3B137DBE"/>
    <w:rsid w:val="3B15706C"/>
    <w:rsid w:val="3B414EF7"/>
    <w:rsid w:val="3B633D30"/>
    <w:rsid w:val="3B6A683B"/>
    <w:rsid w:val="3B6B584A"/>
    <w:rsid w:val="3B892174"/>
    <w:rsid w:val="3BAE1BDB"/>
    <w:rsid w:val="3BE13D5E"/>
    <w:rsid w:val="3BFA74DA"/>
    <w:rsid w:val="3C0C55DD"/>
    <w:rsid w:val="3C284AC5"/>
    <w:rsid w:val="3C432323"/>
    <w:rsid w:val="3C5F1237"/>
    <w:rsid w:val="3CA01523"/>
    <w:rsid w:val="3CA1529C"/>
    <w:rsid w:val="3CA73615"/>
    <w:rsid w:val="3D0531E3"/>
    <w:rsid w:val="3D527384"/>
    <w:rsid w:val="3D7B5AED"/>
    <w:rsid w:val="3DBD6105"/>
    <w:rsid w:val="3DE23DBE"/>
    <w:rsid w:val="3E0633EE"/>
    <w:rsid w:val="3E077380"/>
    <w:rsid w:val="3E222F7F"/>
    <w:rsid w:val="3E305F64"/>
    <w:rsid w:val="3E546A69"/>
    <w:rsid w:val="3E5D51F2"/>
    <w:rsid w:val="3E630A5B"/>
    <w:rsid w:val="3E6F38A3"/>
    <w:rsid w:val="3E7F2B45"/>
    <w:rsid w:val="3E9F7D15"/>
    <w:rsid w:val="3EAB2402"/>
    <w:rsid w:val="3EE31B9B"/>
    <w:rsid w:val="3EEF0AB8"/>
    <w:rsid w:val="3F19692C"/>
    <w:rsid w:val="3F1A6BAD"/>
    <w:rsid w:val="3F2D72BA"/>
    <w:rsid w:val="3FA96941"/>
    <w:rsid w:val="3FAA26B9"/>
    <w:rsid w:val="3FAF7CCF"/>
    <w:rsid w:val="3FC27A03"/>
    <w:rsid w:val="3FCE3DFC"/>
    <w:rsid w:val="3FD414E4"/>
    <w:rsid w:val="3FDA284A"/>
    <w:rsid w:val="3FE536F1"/>
    <w:rsid w:val="40167D4F"/>
    <w:rsid w:val="401A0FA9"/>
    <w:rsid w:val="404023C4"/>
    <w:rsid w:val="404B48EE"/>
    <w:rsid w:val="40581F6E"/>
    <w:rsid w:val="407A208B"/>
    <w:rsid w:val="407C5E04"/>
    <w:rsid w:val="40DC4AF4"/>
    <w:rsid w:val="40E37C31"/>
    <w:rsid w:val="40E572B5"/>
    <w:rsid w:val="40E879E7"/>
    <w:rsid w:val="40F3694D"/>
    <w:rsid w:val="41005B39"/>
    <w:rsid w:val="410C1185"/>
    <w:rsid w:val="411249BA"/>
    <w:rsid w:val="412C31AD"/>
    <w:rsid w:val="413E2ECE"/>
    <w:rsid w:val="419D3DBE"/>
    <w:rsid w:val="41AA0C03"/>
    <w:rsid w:val="41C95E4D"/>
    <w:rsid w:val="41CF0701"/>
    <w:rsid w:val="41E9396D"/>
    <w:rsid w:val="41EC6FB9"/>
    <w:rsid w:val="41F45E6E"/>
    <w:rsid w:val="41F61EFD"/>
    <w:rsid w:val="42386A23"/>
    <w:rsid w:val="427F40C9"/>
    <w:rsid w:val="429960CF"/>
    <w:rsid w:val="42B37AD7"/>
    <w:rsid w:val="42CA6358"/>
    <w:rsid w:val="42D9011C"/>
    <w:rsid w:val="42F02ADA"/>
    <w:rsid w:val="43233126"/>
    <w:rsid w:val="43277BDB"/>
    <w:rsid w:val="432F3601"/>
    <w:rsid w:val="43372AFC"/>
    <w:rsid w:val="434F5A51"/>
    <w:rsid w:val="43823375"/>
    <w:rsid w:val="439E7EF0"/>
    <w:rsid w:val="43AC0369"/>
    <w:rsid w:val="442C5D93"/>
    <w:rsid w:val="444F55DD"/>
    <w:rsid w:val="44935E12"/>
    <w:rsid w:val="44A409D6"/>
    <w:rsid w:val="44DD0E3B"/>
    <w:rsid w:val="44EE4DF6"/>
    <w:rsid w:val="44FE14DD"/>
    <w:rsid w:val="451D704F"/>
    <w:rsid w:val="452E1696"/>
    <w:rsid w:val="45385419"/>
    <w:rsid w:val="453C0257"/>
    <w:rsid w:val="45684BA8"/>
    <w:rsid w:val="457E7FAC"/>
    <w:rsid w:val="4582210E"/>
    <w:rsid w:val="45B47174"/>
    <w:rsid w:val="45D10756"/>
    <w:rsid w:val="45DF1FB4"/>
    <w:rsid w:val="46701BD3"/>
    <w:rsid w:val="46756CDE"/>
    <w:rsid w:val="46803A74"/>
    <w:rsid w:val="468477C0"/>
    <w:rsid w:val="46A460B4"/>
    <w:rsid w:val="46B04A59"/>
    <w:rsid w:val="46BA646D"/>
    <w:rsid w:val="46DC49A2"/>
    <w:rsid w:val="46FC24A1"/>
    <w:rsid w:val="46FD57C4"/>
    <w:rsid w:val="470D1149"/>
    <w:rsid w:val="471E7C15"/>
    <w:rsid w:val="472D7E58"/>
    <w:rsid w:val="4732546E"/>
    <w:rsid w:val="473A07C7"/>
    <w:rsid w:val="47503B46"/>
    <w:rsid w:val="47990A9D"/>
    <w:rsid w:val="47D159DD"/>
    <w:rsid w:val="47D209FF"/>
    <w:rsid w:val="47EC01A1"/>
    <w:rsid w:val="48337277"/>
    <w:rsid w:val="484E298E"/>
    <w:rsid w:val="485831BD"/>
    <w:rsid w:val="48CB3DCC"/>
    <w:rsid w:val="490E5A67"/>
    <w:rsid w:val="492900B7"/>
    <w:rsid w:val="492E6511"/>
    <w:rsid w:val="494C2D19"/>
    <w:rsid w:val="495112C6"/>
    <w:rsid w:val="495C2C76"/>
    <w:rsid w:val="496112DB"/>
    <w:rsid w:val="4961203A"/>
    <w:rsid w:val="49675177"/>
    <w:rsid w:val="496B110B"/>
    <w:rsid w:val="496B4C67"/>
    <w:rsid w:val="499C12C5"/>
    <w:rsid w:val="49D56585"/>
    <w:rsid w:val="49EA3855"/>
    <w:rsid w:val="4A0A26D2"/>
    <w:rsid w:val="4A2475A4"/>
    <w:rsid w:val="4A471230"/>
    <w:rsid w:val="4A881C78"/>
    <w:rsid w:val="4AA91EEB"/>
    <w:rsid w:val="4AC35133"/>
    <w:rsid w:val="4AD56ED5"/>
    <w:rsid w:val="4ADB5E1D"/>
    <w:rsid w:val="4B0C1678"/>
    <w:rsid w:val="4B1D01E3"/>
    <w:rsid w:val="4B307F16"/>
    <w:rsid w:val="4B3A0D95"/>
    <w:rsid w:val="4B3B68BB"/>
    <w:rsid w:val="4B400B9A"/>
    <w:rsid w:val="4B5B204B"/>
    <w:rsid w:val="4B77BA42"/>
    <w:rsid w:val="4B837B0C"/>
    <w:rsid w:val="4B850531"/>
    <w:rsid w:val="4B8A3E6C"/>
    <w:rsid w:val="4BA32DDE"/>
    <w:rsid w:val="4BAD5A0B"/>
    <w:rsid w:val="4BB4664D"/>
    <w:rsid w:val="4BF21670"/>
    <w:rsid w:val="4C1930A0"/>
    <w:rsid w:val="4C2F4672"/>
    <w:rsid w:val="4C545E87"/>
    <w:rsid w:val="4C5E0AB3"/>
    <w:rsid w:val="4C7F0DE7"/>
    <w:rsid w:val="4C9D15DC"/>
    <w:rsid w:val="4CAA1F4A"/>
    <w:rsid w:val="4CAE37E9"/>
    <w:rsid w:val="4D2A6229"/>
    <w:rsid w:val="4D31441A"/>
    <w:rsid w:val="4D5072E9"/>
    <w:rsid w:val="4D69668F"/>
    <w:rsid w:val="4D9322BB"/>
    <w:rsid w:val="4D972A93"/>
    <w:rsid w:val="4D986247"/>
    <w:rsid w:val="4DCF13B8"/>
    <w:rsid w:val="4DD61F19"/>
    <w:rsid w:val="4DF9660B"/>
    <w:rsid w:val="4DF96CE5"/>
    <w:rsid w:val="4E125FF9"/>
    <w:rsid w:val="4E81291C"/>
    <w:rsid w:val="4E9502E8"/>
    <w:rsid w:val="4E9E6D13"/>
    <w:rsid w:val="4EC24797"/>
    <w:rsid w:val="4EEF633A"/>
    <w:rsid w:val="4EFD531D"/>
    <w:rsid w:val="4F2621FE"/>
    <w:rsid w:val="4F277882"/>
    <w:rsid w:val="4F3B1580"/>
    <w:rsid w:val="4F3E33A7"/>
    <w:rsid w:val="4F75064B"/>
    <w:rsid w:val="4F8C636A"/>
    <w:rsid w:val="4F8D77AB"/>
    <w:rsid w:val="4FE9454B"/>
    <w:rsid w:val="5010686C"/>
    <w:rsid w:val="5012408F"/>
    <w:rsid w:val="501740DB"/>
    <w:rsid w:val="50591CBD"/>
    <w:rsid w:val="507A753A"/>
    <w:rsid w:val="507E2733"/>
    <w:rsid w:val="50800F93"/>
    <w:rsid w:val="50923421"/>
    <w:rsid w:val="50AD2009"/>
    <w:rsid w:val="50C41F9B"/>
    <w:rsid w:val="50C51101"/>
    <w:rsid w:val="50CE573F"/>
    <w:rsid w:val="513D338D"/>
    <w:rsid w:val="514279CB"/>
    <w:rsid w:val="516C5A20"/>
    <w:rsid w:val="51992547"/>
    <w:rsid w:val="51996F17"/>
    <w:rsid w:val="51A0391C"/>
    <w:rsid w:val="51A4340C"/>
    <w:rsid w:val="51AE7DE7"/>
    <w:rsid w:val="51C13FBE"/>
    <w:rsid w:val="51CB0999"/>
    <w:rsid w:val="51D75590"/>
    <w:rsid w:val="51DD06CC"/>
    <w:rsid w:val="520420FD"/>
    <w:rsid w:val="522C6C56"/>
    <w:rsid w:val="523C74A6"/>
    <w:rsid w:val="524424F9"/>
    <w:rsid w:val="52495D62"/>
    <w:rsid w:val="52BB345C"/>
    <w:rsid w:val="52CB6777"/>
    <w:rsid w:val="52F21F55"/>
    <w:rsid w:val="530776F6"/>
    <w:rsid w:val="530F0D59"/>
    <w:rsid w:val="53277E51"/>
    <w:rsid w:val="534F1156"/>
    <w:rsid w:val="537D5CC3"/>
    <w:rsid w:val="53B84F4D"/>
    <w:rsid w:val="53C102A5"/>
    <w:rsid w:val="53C60114"/>
    <w:rsid w:val="53E421E6"/>
    <w:rsid w:val="540567C7"/>
    <w:rsid w:val="54120B01"/>
    <w:rsid w:val="542B571F"/>
    <w:rsid w:val="54380789"/>
    <w:rsid w:val="54442C85"/>
    <w:rsid w:val="544F44F7"/>
    <w:rsid w:val="547075D6"/>
    <w:rsid w:val="5472094E"/>
    <w:rsid w:val="54B35714"/>
    <w:rsid w:val="54D1276A"/>
    <w:rsid w:val="54D73AF9"/>
    <w:rsid w:val="54F76490"/>
    <w:rsid w:val="5503369C"/>
    <w:rsid w:val="55050666"/>
    <w:rsid w:val="55083CB2"/>
    <w:rsid w:val="55144405"/>
    <w:rsid w:val="55312A98"/>
    <w:rsid w:val="55474042"/>
    <w:rsid w:val="554967A4"/>
    <w:rsid w:val="556A04C9"/>
    <w:rsid w:val="556E215B"/>
    <w:rsid w:val="55705593"/>
    <w:rsid w:val="55762895"/>
    <w:rsid w:val="558570B1"/>
    <w:rsid w:val="558C7C32"/>
    <w:rsid w:val="560C1580"/>
    <w:rsid w:val="5621327D"/>
    <w:rsid w:val="563A5ADF"/>
    <w:rsid w:val="56486A5C"/>
    <w:rsid w:val="565D002E"/>
    <w:rsid w:val="56DC53F6"/>
    <w:rsid w:val="571903F8"/>
    <w:rsid w:val="571A66C4"/>
    <w:rsid w:val="573E39BB"/>
    <w:rsid w:val="578E4942"/>
    <w:rsid w:val="57A44511"/>
    <w:rsid w:val="57AE6D93"/>
    <w:rsid w:val="57B90BDE"/>
    <w:rsid w:val="57DC0D06"/>
    <w:rsid w:val="5809221B"/>
    <w:rsid w:val="58220680"/>
    <w:rsid w:val="583354EA"/>
    <w:rsid w:val="584119B5"/>
    <w:rsid w:val="58481E52"/>
    <w:rsid w:val="58726012"/>
    <w:rsid w:val="58A35269"/>
    <w:rsid w:val="58B379D3"/>
    <w:rsid w:val="58C3486B"/>
    <w:rsid w:val="58C8276C"/>
    <w:rsid w:val="58DF57F5"/>
    <w:rsid w:val="59167CA9"/>
    <w:rsid w:val="59323EA7"/>
    <w:rsid w:val="5949535F"/>
    <w:rsid w:val="59613991"/>
    <w:rsid w:val="596E6915"/>
    <w:rsid w:val="597F35F6"/>
    <w:rsid w:val="599651FE"/>
    <w:rsid w:val="59AD6F86"/>
    <w:rsid w:val="59B2243E"/>
    <w:rsid w:val="59DE4FE1"/>
    <w:rsid w:val="5A1117CC"/>
    <w:rsid w:val="5A421A14"/>
    <w:rsid w:val="5A6E6BF8"/>
    <w:rsid w:val="5A884939"/>
    <w:rsid w:val="5ABC17C7"/>
    <w:rsid w:val="5ABE313D"/>
    <w:rsid w:val="5AE528BF"/>
    <w:rsid w:val="5AE605F2"/>
    <w:rsid w:val="5AED73C6"/>
    <w:rsid w:val="5AF10BDC"/>
    <w:rsid w:val="5B1213E7"/>
    <w:rsid w:val="5B127639"/>
    <w:rsid w:val="5B2B24A8"/>
    <w:rsid w:val="5B394BC5"/>
    <w:rsid w:val="5B793214"/>
    <w:rsid w:val="5B8FCF33"/>
    <w:rsid w:val="5B9B158E"/>
    <w:rsid w:val="5BD161ED"/>
    <w:rsid w:val="5BF64864"/>
    <w:rsid w:val="5C9347A9"/>
    <w:rsid w:val="5C9E4397"/>
    <w:rsid w:val="5CAC7619"/>
    <w:rsid w:val="5CE82B4D"/>
    <w:rsid w:val="5CF21F1C"/>
    <w:rsid w:val="5CFF3BED"/>
    <w:rsid w:val="5D0B35B7"/>
    <w:rsid w:val="5D235B2D"/>
    <w:rsid w:val="5D4C7FE2"/>
    <w:rsid w:val="5D916F3A"/>
    <w:rsid w:val="5D9B1B67"/>
    <w:rsid w:val="5DA46FBF"/>
    <w:rsid w:val="5DAB78D0"/>
    <w:rsid w:val="5DB42C29"/>
    <w:rsid w:val="5DBB3A00"/>
    <w:rsid w:val="5DEC23C3"/>
    <w:rsid w:val="5DF461DF"/>
    <w:rsid w:val="5E1E79DD"/>
    <w:rsid w:val="5E391380"/>
    <w:rsid w:val="5E547F68"/>
    <w:rsid w:val="5EBD17D6"/>
    <w:rsid w:val="5ECF26F0"/>
    <w:rsid w:val="5F424152"/>
    <w:rsid w:val="5F5923D9"/>
    <w:rsid w:val="5F804F7C"/>
    <w:rsid w:val="5F84507B"/>
    <w:rsid w:val="5FA66C4C"/>
    <w:rsid w:val="5FB46F10"/>
    <w:rsid w:val="5FBB029F"/>
    <w:rsid w:val="5FBF32AD"/>
    <w:rsid w:val="5FC15189"/>
    <w:rsid w:val="5FC93D7A"/>
    <w:rsid w:val="5FEB7598"/>
    <w:rsid w:val="5FEF619A"/>
    <w:rsid w:val="600C1085"/>
    <w:rsid w:val="604E4E9A"/>
    <w:rsid w:val="605F4325"/>
    <w:rsid w:val="606E656D"/>
    <w:rsid w:val="60936074"/>
    <w:rsid w:val="60940AF0"/>
    <w:rsid w:val="60964868"/>
    <w:rsid w:val="60BB427C"/>
    <w:rsid w:val="60C5068E"/>
    <w:rsid w:val="60F4742F"/>
    <w:rsid w:val="60FA6BA5"/>
    <w:rsid w:val="6126799A"/>
    <w:rsid w:val="61736957"/>
    <w:rsid w:val="617C580C"/>
    <w:rsid w:val="61882403"/>
    <w:rsid w:val="61A35225"/>
    <w:rsid w:val="61B228BF"/>
    <w:rsid w:val="61C20EAC"/>
    <w:rsid w:val="61CB6793"/>
    <w:rsid w:val="61D92C5E"/>
    <w:rsid w:val="61E239A6"/>
    <w:rsid w:val="62516C98"/>
    <w:rsid w:val="625422E5"/>
    <w:rsid w:val="626055AF"/>
    <w:rsid w:val="62804CAC"/>
    <w:rsid w:val="6291178B"/>
    <w:rsid w:val="62944ACB"/>
    <w:rsid w:val="62960B4F"/>
    <w:rsid w:val="629C67BC"/>
    <w:rsid w:val="62A96AD4"/>
    <w:rsid w:val="62B52559"/>
    <w:rsid w:val="62C7581D"/>
    <w:rsid w:val="62E670F3"/>
    <w:rsid w:val="630C6032"/>
    <w:rsid w:val="63193229"/>
    <w:rsid w:val="63317A1B"/>
    <w:rsid w:val="63442359"/>
    <w:rsid w:val="639C65B0"/>
    <w:rsid w:val="63C35974"/>
    <w:rsid w:val="63E1229E"/>
    <w:rsid w:val="63E6217C"/>
    <w:rsid w:val="640146EE"/>
    <w:rsid w:val="6418509F"/>
    <w:rsid w:val="6421269A"/>
    <w:rsid w:val="64D43BB1"/>
    <w:rsid w:val="651D5558"/>
    <w:rsid w:val="652E1513"/>
    <w:rsid w:val="656B46CF"/>
    <w:rsid w:val="65801643"/>
    <w:rsid w:val="658D448B"/>
    <w:rsid w:val="65B80FD8"/>
    <w:rsid w:val="65FD2C93"/>
    <w:rsid w:val="66387CAD"/>
    <w:rsid w:val="664D7F9B"/>
    <w:rsid w:val="66A3028A"/>
    <w:rsid w:val="66A650D9"/>
    <w:rsid w:val="67002A3B"/>
    <w:rsid w:val="671B1581"/>
    <w:rsid w:val="672229B1"/>
    <w:rsid w:val="672A3F5C"/>
    <w:rsid w:val="67BD6B7E"/>
    <w:rsid w:val="67DF478F"/>
    <w:rsid w:val="67E11BC9"/>
    <w:rsid w:val="67ED7463"/>
    <w:rsid w:val="68093B71"/>
    <w:rsid w:val="68103152"/>
    <w:rsid w:val="6838203F"/>
    <w:rsid w:val="685655A6"/>
    <w:rsid w:val="6860371C"/>
    <w:rsid w:val="687550D0"/>
    <w:rsid w:val="68761DA1"/>
    <w:rsid w:val="687E455F"/>
    <w:rsid w:val="68A65864"/>
    <w:rsid w:val="68AE03DB"/>
    <w:rsid w:val="68D3409A"/>
    <w:rsid w:val="690600B1"/>
    <w:rsid w:val="691D5B26"/>
    <w:rsid w:val="692A492B"/>
    <w:rsid w:val="69366BE8"/>
    <w:rsid w:val="6950078F"/>
    <w:rsid w:val="696D4A47"/>
    <w:rsid w:val="698D7E01"/>
    <w:rsid w:val="69B61AD7"/>
    <w:rsid w:val="69E71DDD"/>
    <w:rsid w:val="69F36887"/>
    <w:rsid w:val="69F85C4B"/>
    <w:rsid w:val="6A042842"/>
    <w:rsid w:val="6A0B1B52"/>
    <w:rsid w:val="6A366774"/>
    <w:rsid w:val="6AF97ECD"/>
    <w:rsid w:val="6B0D1BCA"/>
    <w:rsid w:val="6B250CC2"/>
    <w:rsid w:val="6B252A70"/>
    <w:rsid w:val="6B3D425E"/>
    <w:rsid w:val="6B653FE0"/>
    <w:rsid w:val="6B6D2669"/>
    <w:rsid w:val="6B776C03"/>
    <w:rsid w:val="6B863A1B"/>
    <w:rsid w:val="6B865BA9"/>
    <w:rsid w:val="6B9320D0"/>
    <w:rsid w:val="6B9615A3"/>
    <w:rsid w:val="6B9C3AE5"/>
    <w:rsid w:val="6BAC3191"/>
    <w:rsid w:val="6BC648A8"/>
    <w:rsid w:val="6C3867D3"/>
    <w:rsid w:val="6C472EBA"/>
    <w:rsid w:val="6C615D2A"/>
    <w:rsid w:val="6C692E30"/>
    <w:rsid w:val="6C904861"/>
    <w:rsid w:val="6CFA7F2C"/>
    <w:rsid w:val="6D0468F2"/>
    <w:rsid w:val="6D2A0812"/>
    <w:rsid w:val="6D3925E5"/>
    <w:rsid w:val="6D4620B8"/>
    <w:rsid w:val="6D464F20"/>
    <w:rsid w:val="6D5451DC"/>
    <w:rsid w:val="6D5D5B5A"/>
    <w:rsid w:val="6D610A58"/>
    <w:rsid w:val="6D6F3412"/>
    <w:rsid w:val="6D910891"/>
    <w:rsid w:val="6D9E6B0A"/>
    <w:rsid w:val="6DA83E0C"/>
    <w:rsid w:val="6DB14A8F"/>
    <w:rsid w:val="6DB61B32"/>
    <w:rsid w:val="6DE92C47"/>
    <w:rsid w:val="6E0252EB"/>
    <w:rsid w:val="6E027099"/>
    <w:rsid w:val="6E25722B"/>
    <w:rsid w:val="6E7A30D3"/>
    <w:rsid w:val="6E9D3190"/>
    <w:rsid w:val="6EA10FD4"/>
    <w:rsid w:val="6EAB3BD4"/>
    <w:rsid w:val="6EAE0FCF"/>
    <w:rsid w:val="6EC66318"/>
    <w:rsid w:val="6EE65FD0"/>
    <w:rsid w:val="6EE97FE6"/>
    <w:rsid w:val="6EEF5FBA"/>
    <w:rsid w:val="6F0137F4"/>
    <w:rsid w:val="6F0B753F"/>
    <w:rsid w:val="6F1E6154"/>
    <w:rsid w:val="6F1F3C7A"/>
    <w:rsid w:val="6F215C44"/>
    <w:rsid w:val="6F271606"/>
    <w:rsid w:val="6F5A4CB2"/>
    <w:rsid w:val="6F71DAA7"/>
    <w:rsid w:val="6F854425"/>
    <w:rsid w:val="6F9314E5"/>
    <w:rsid w:val="6F975F07"/>
    <w:rsid w:val="6F9927A9"/>
    <w:rsid w:val="6FA80114"/>
    <w:rsid w:val="6FD63E81"/>
    <w:rsid w:val="6FD81D0C"/>
    <w:rsid w:val="6FDB4045"/>
    <w:rsid w:val="6FDB5DF3"/>
    <w:rsid w:val="6FEB37AA"/>
    <w:rsid w:val="6FFF35DB"/>
    <w:rsid w:val="703903A6"/>
    <w:rsid w:val="704B6193"/>
    <w:rsid w:val="706D4D57"/>
    <w:rsid w:val="70705916"/>
    <w:rsid w:val="70776CBE"/>
    <w:rsid w:val="70981B5C"/>
    <w:rsid w:val="70B83EBC"/>
    <w:rsid w:val="70D72A5F"/>
    <w:rsid w:val="70FF3D63"/>
    <w:rsid w:val="71416999"/>
    <w:rsid w:val="71454595"/>
    <w:rsid w:val="71662034"/>
    <w:rsid w:val="71A5490B"/>
    <w:rsid w:val="71AB5C99"/>
    <w:rsid w:val="71CA611F"/>
    <w:rsid w:val="71F1013E"/>
    <w:rsid w:val="7214383E"/>
    <w:rsid w:val="721B7B4E"/>
    <w:rsid w:val="723E08BB"/>
    <w:rsid w:val="726E73F3"/>
    <w:rsid w:val="7278201F"/>
    <w:rsid w:val="72A42E14"/>
    <w:rsid w:val="72A471DF"/>
    <w:rsid w:val="72EB40E9"/>
    <w:rsid w:val="72EE408F"/>
    <w:rsid w:val="72F0605A"/>
    <w:rsid w:val="72F07C93"/>
    <w:rsid w:val="72F07E08"/>
    <w:rsid w:val="731C4B6B"/>
    <w:rsid w:val="731D7F10"/>
    <w:rsid w:val="733A10F5"/>
    <w:rsid w:val="73522870"/>
    <w:rsid w:val="736425A4"/>
    <w:rsid w:val="73774284"/>
    <w:rsid w:val="737F09F7"/>
    <w:rsid w:val="73BC1D93"/>
    <w:rsid w:val="73D239B1"/>
    <w:rsid w:val="73F90F3E"/>
    <w:rsid w:val="74081892"/>
    <w:rsid w:val="74145D78"/>
    <w:rsid w:val="741915E0"/>
    <w:rsid w:val="74237D69"/>
    <w:rsid w:val="74343D24"/>
    <w:rsid w:val="74624D35"/>
    <w:rsid w:val="746A0340"/>
    <w:rsid w:val="746A3BEA"/>
    <w:rsid w:val="74AF10D9"/>
    <w:rsid w:val="74D001FC"/>
    <w:rsid w:val="74E67981"/>
    <w:rsid w:val="74E77C0B"/>
    <w:rsid w:val="74F6722B"/>
    <w:rsid w:val="751F49D4"/>
    <w:rsid w:val="754D32A2"/>
    <w:rsid w:val="75667635"/>
    <w:rsid w:val="756A1E27"/>
    <w:rsid w:val="7583295F"/>
    <w:rsid w:val="75846F2D"/>
    <w:rsid w:val="758B4730"/>
    <w:rsid w:val="75DB056E"/>
    <w:rsid w:val="75F419BD"/>
    <w:rsid w:val="75FB64DD"/>
    <w:rsid w:val="762322A2"/>
    <w:rsid w:val="76300070"/>
    <w:rsid w:val="76511BC9"/>
    <w:rsid w:val="768B56A2"/>
    <w:rsid w:val="76964150"/>
    <w:rsid w:val="76CA27B3"/>
    <w:rsid w:val="76D75AA1"/>
    <w:rsid w:val="770025E3"/>
    <w:rsid w:val="772558CB"/>
    <w:rsid w:val="77271704"/>
    <w:rsid w:val="77324E93"/>
    <w:rsid w:val="77334767"/>
    <w:rsid w:val="77445E44"/>
    <w:rsid w:val="77624310"/>
    <w:rsid w:val="776B3C32"/>
    <w:rsid w:val="777BE1E5"/>
    <w:rsid w:val="777C44E8"/>
    <w:rsid w:val="777F4E56"/>
    <w:rsid w:val="777FFB5A"/>
    <w:rsid w:val="77C01083"/>
    <w:rsid w:val="77D5581E"/>
    <w:rsid w:val="77F51A1C"/>
    <w:rsid w:val="77F9BDFE"/>
    <w:rsid w:val="78012431"/>
    <w:rsid w:val="780659D7"/>
    <w:rsid w:val="787E6801"/>
    <w:rsid w:val="788A485A"/>
    <w:rsid w:val="789A7408"/>
    <w:rsid w:val="78DD4B16"/>
    <w:rsid w:val="794111F1"/>
    <w:rsid w:val="795D6D6C"/>
    <w:rsid w:val="79A100AE"/>
    <w:rsid w:val="79B0209F"/>
    <w:rsid w:val="79B6B7CA"/>
    <w:rsid w:val="79BD2A0E"/>
    <w:rsid w:val="79DC614A"/>
    <w:rsid w:val="79F93A46"/>
    <w:rsid w:val="79FF8825"/>
    <w:rsid w:val="7A064BE3"/>
    <w:rsid w:val="7A4E3666"/>
    <w:rsid w:val="7A7AC12C"/>
    <w:rsid w:val="7A7F797A"/>
    <w:rsid w:val="7AB0035E"/>
    <w:rsid w:val="7AC47217"/>
    <w:rsid w:val="7AD2618C"/>
    <w:rsid w:val="7AE149BD"/>
    <w:rsid w:val="7AE262DC"/>
    <w:rsid w:val="7AF4420D"/>
    <w:rsid w:val="7B2038CF"/>
    <w:rsid w:val="7B30793B"/>
    <w:rsid w:val="7B435708"/>
    <w:rsid w:val="7B647A4D"/>
    <w:rsid w:val="7B971768"/>
    <w:rsid w:val="7B9A6B62"/>
    <w:rsid w:val="7BB340C8"/>
    <w:rsid w:val="7BB46E71"/>
    <w:rsid w:val="7BDFE1A2"/>
    <w:rsid w:val="7BE56DAE"/>
    <w:rsid w:val="7BF344C5"/>
    <w:rsid w:val="7C1E7770"/>
    <w:rsid w:val="7C2B0102"/>
    <w:rsid w:val="7C2B3C5E"/>
    <w:rsid w:val="7C7E1CA6"/>
    <w:rsid w:val="7CA103C5"/>
    <w:rsid w:val="7CA53C3D"/>
    <w:rsid w:val="7CAD2B69"/>
    <w:rsid w:val="7CC3658D"/>
    <w:rsid w:val="7CCD4D16"/>
    <w:rsid w:val="7CE309DD"/>
    <w:rsid w:val="7CFE890A"/>
    <w:rsid w:val="7D4D5A07"/>
    <w:rsid w:val="7D5947FB"/>
    <w:rsid w:val="7D7FC70A"/>
    <w:rsid w:val="7D8C697F"/>
    <w:rsid w:val="7D935155"/>
    <w:rsid w:val="7D9854CF"/>
    <w:rsid w:val="7DA63EE4"/>
    <w:rsid w:val="7DC97BD3"/>
    <w:rsid w:val="7DE31994"/>
    <w:rsid w:val="7E0724A9"/>
    <w:rsid w:val="7E470AF8"/>
    <w:rsid w:val="7E4D4360"/>
    <w:rsid w:val="7E5C285E"/>
    <w:rsid w:val="7E6478FC"/>
    <w:rsid w:val="7EBF5433"/>
    <w:rsid w:val="7ECD1D7B"/>
    <w:rsid w:val="7EDEFF37"/>
    <w:rsid w:val="7EE10F4C"/>
    <w:rsid w:val="7F63377E"/>
    <w:rsid w:val="7F8A405C"/>
    <w:rsid w:val="7F8C288F"/>
    <w:rsid w:val="7FD7EB92"/>
    <w:rsid w:val="7FDD71BC"/>
    <w:rsid w:val="7FF63DA4"/>
    <w:rsid w:val="AEFCF951"/>
    <w:rsid w:val="AF99DD8F"/>
    <w:rsid w:val="BAF273D9"/>
    <w:rsid w:val="BDDB2997"/>
    <w:rsid w:val="BF7B5784"/>
    <w:rsid w:val="C678E9DF"/>
    <w:rsid w:val="CB2D2EAA"/>
    <w:rsid w:val="CFF2C08D"/>
    <w:rsid w:val="D0FF3234"/>
    <w:rsid w:val="D94B0D6A"/>
    <w:rsid w:val="DAF530A5"/>
    <w:rsid w:val="DDE72AE9"/>
    <w:rsid w:val="DE7EA8C2"/>
    <w:rsid w:val="DF9EA91C"/>
    <w:rsid w:val="DF9FC4DF"/>
    <w:rsid w:val="DFAB15AD"/>
    <w:rsid w:val="DFF773C7"/>
    <w:rsid w:val="E367312B"/>
    <w:rsid w:val="E7B40FA2"/>
    <w:rsid w:val="EA2D3817"/>
    <w:rsid w:val="EBDE89C0"/>
    <w:rsid w:val="EBF713C1"/>
    <w:rsid w:val="EFDF93A9"/>
    <w:rsid w:val="F7D9E16E"/>
    <w:rsid w:val="F7FE5614"/>
    <w:rsid w:val="F91F4BCC"/>
    <w:rsid w:val="F9D6B31B"/>
    <w:rsid w:val="FB7B32DF"/>
    <w:rsid w:val="FBCD507D"/>
    <w:rsid w:val="FEFF414D"/>
    <w:rsid w:val="FF0FFB7B"/>
    <w:rsid w:val="FF7BF43A"/>
    <w:rsid w:val="FFAEBF80"/>
    <w:rsid w:val="FFED6547"/>
    <w:rsid w:val="FFF337A6"/>
    <w:rsid w:val="FFFF93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13">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2">
    <w:name w:val="Normal Indent"/>
    <w:basedOn w:val="1"/>
    <w:autoRedefine/>
    <w:qFormat/>
    <w:uiPriority w:val="0"/>
    <w:pPr>
      <w:ind w:firstLine="680"/>
    </w:pPr>
    <w:rPr>
      <w:rFonts w:ascii="Calibri" w:hAnsi="Calibri"/>
    </w:rPr>
  </w:style>
  <w:style w:type="paragraph" w:styleId="3">
    <w:name w:val="annotation text"/>
    <w:basedOn w:val="1"/>
    <w:link w:val="17"/>
    <w:autoRedefine/>
    <w:qFormat/>
    <w:uiPriority w:val="0"/>
    <w:pPr>
      <w:jc w:val="left"/>
    </w:pPr>
    <w:rPr>
      <w:rFonts w:ascii="Calibri" w:hAnsi="Calibri"/>
      <w:lang w:val="zh-CN"/>
    </w:rPr>
  </w:style>
  <w:style w:type="paragraph" w:styleId="4">
    <w:name w:val="Body Text"/>
    <w:basedOn w:val="1"/>
    <w:autoRedefine/>
    <w:qFormat/>
    <w:uiPriority w:val="1"/>
    <w:pPr>
      <w:spacing w:before="5"/>
      <w:ind w:left="138"/>
    </w:pPr>
    <w:rPr>
      <w:rFonts w:ascii="宋体" w:hAnsi="宋体" w:cs="宋体"/>
      <w:sz w:val="32"/>
      <w:szCs w:val="32"/>
      <w:lang w:val="zh-CN" w:bidi="zh-CN"/>
    </w:rPr>
  </w:style>
  <w:style w:type="paragraph" w:styleId="5">
    <w:name w:val="Body Text Indent"/>
    <w:basedOn w:val="1"/>
    <w:link w:val="18"/>
    <w:autoRedefine/>
    <w:qFormat/>
    <w:uiPriority w:val="0"/>
    <w:pPr>
      <w:tabs>
        <w:tab w:val="left" w:pos="360"/>
      </w:tabs>
      <w:ind w:left="180" w:firstLine="600"/>
    </w:pPr>
    <w:rPr>
      <w:rFonts w:ascii="宋体" w:hAnsi="宋体"/>
      <w:sz w:val="30"/>
      <w:szCs w:val="30"/>
      <w:lang w:val="zh-CN"/>
    </w:rPr>
  </w:style>
  <w:style w:type="paragraph" w:styleId="6">
    <w:name w:val="Balloon Text"/>
    <w:basedOn w:val="1"/>
    <w:link w:val="19"/>
    <w:autoRedefine/>
    <w:qFormat/>
    <w:uiPriority w:val="0"/>
    <w:rPr>
      <w:sz w:val="18"/>
      <w:szCs w:val="18"/>
      <w:lang w:val="zh-CN"/>
    </w:rPr>
  </w:style>
  <w:style w:type="paragraph" w:styleId="7">
    <w:name w:val="footer"/>
    <w:basedOn w:val="1"/>
    <w:link w:val="20"/>
    <w:autoRedefine/>
    <w:qFormat/>
    <w:uiPriority w:val="99"/>
    <w:pPr>
      <w:tabs>
        <w:tab w:val="center" w:pos="4153"/>
        <w:tab w:val="right" w:pos="8306"/>
      </w:tabs>
      <w:snapToGrid w:val="0"/>
      <w:jc w:val="left"/>
    </w:pPr>
    <w:rPr>
      <w:sz w:val="18"/>
      <w:szCs w:val="18"/>
      <w:lang w:val="zh-CN"/>
    </w:rPr>
  </w:style>
  <w:style w:type="paragraph" w:styleId="8">
    <w:name w:val="header"/>
    <w:basedOn w:val="1"/>
    <w:autoRedefine/>
    <w:qFormat/>
    <w:uiPriority w:val="0"/>
    <w:pPr>
      <w:pBdr>
        <w:bottom w:val="single" w:color="auto" w:sz="6" w:space="1"/>
      </w:pBdr>
      <w:tabs>
        <w:tab w:val="center" w:pos="4153"/>
        <w:tab w:val="right" w:pos="8306"/>
      </w:tabs>
      <w:snapToGrid w:val="0"/>
      <w:jc w:val="center"/>
    </w:pPr>
    <w:rPr>
      <w:sz w:val="18"/>
      <w:szCs w:val="18"/>
    </w:rPr>
  </w:style>
  <w:style w:type="paragraph" w:styleId="9">
    <w:name w:val="Normal (Web)"/>
    <w:basedOn w:val="1"/>
    <w:autoRedefine/>
    <w:qFormat/>
    <w:uiPriority w:val="99"/>
    <w:pPr>
      <w:widowControl/>
      <w:spacing w:before="100" w:beforeAutospacing="1" w:after="100" w:afterAutospacing="1"/>
      <w:jc w:val="left"/>
    </w:pPr>
    <w:rPr>
      <w:rFonts w:ascii="宋体" w:hAnsi="宋体" w:cs="宋体"/>
      <w:kern w:val="0"/>
      <w:sz w:val="24"/>
    </w:rPr>
  </w:style>
  <w:style w:type="paragraph" w:styleId="10">
    <w:name w:val="annotation subject"/>
    <w:basedOn w:val="3"/>
    <w:next w:val="3"/>
    <w:link w:val="21"/>
    <w:autoRedefine/>
    <w:qFormat/>
    <w:uiPriority w:val="0"/>
    <w:rPr>
      <w:b/>
      <w:bCs/>
    </w:rPr>
  </w:style>
  <w:style w:type="table" w:styleId="12">
    <w:name w:val="Table Grid"/>
    <w:basedOn w:val="11"/>
    <w:autoRedefine/>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Strong"/>
    <w:autoRedefine/>
    <w:qFormat/>
    <w:uiPriority w:val="0"/>
    <w:rPr>
      <w:b/>
    </w:rPr>
  </w:style>
  <w:style w:type="character" w:styleId="15">
    <w:name w:val="Hyperlink"/>
    <w:basedOn w:val="13"/>
    <w:autoRedefine/>
    <w:qFormat/>
    <w:uiPriority w:val="0"/>
    <w:rPr>
      <w:color w:val="0000FF"/>
      <w:u w:val="single"/>
    </w:rPr>
  </w:style>
  <w:style w:type="character" w:styleId="16">
    <w:name w:val="annotation reference"/>
    <w:autoRedefine/>
    <w:qFormat/>
    <w:uiPriority w:val="0"/>
    <w:rPr>
      <w:sz w:val="21"/>
      <w:szCs w:val="21"/>
    </w:rPr>
  </w:style>
  <w:style w:type="character" w:customStyle="1" w:styleId="17">
    <w:name w:val="批注文字 字符"/>
    <w:link w:val="3"/>
    <w:autoRedefine/>
    <w:qFormat/>
    <w:uiPriority w:val="0"/>
    <w:rPr>
      <w:rFonts w:ascii="Calibri" w:hAnsi="Calibri"/>
      <w:kern w:val="2"/>
      <w:sz w:val="21"/>
      <w:szCs w:val="24"/>
    </w:rPr>
  </w:style>
  <w:style w:type="character" w:customStyle="1" w:styleId="18">
    <w:name w:val="正文文本缩进 字符"/>
    <w:link w:val="5"/>
    <w:autoRedefine/>
    <w:qFormat/>
    <w:uiPriority w:val="0"/>
    <w:rPr>
      <w:rFonts w:ascii="宋体" w:hAnsi="宋体"/>
      <w:kern w:val="2"/>
      <w:sz w:val="30"/>
      <w:szCs w:val="30"/>
    </w:rPr>
  </w:style>
  <w:style w:type="character" w:customStyle="1" w:styleId="19">
    <w:name w:val="批注框文本 字符"/>
    <w:link w:val="6"/>
    <w:autoRedefine/>
    <w:qFormat/>
    <w:uiPriority w:val="0"/>
    <w:rPr>
      <w:kern w:val="2"/>
      <w:sz w:val="18"/>
      <w:szCs w:val="18"/>
    </w:rPr>
  </w:style>
  <w:style w:type="character" w:customStyle="1" w:styleId="20">
    <w:name w:val="页脚 字符"/>
    <w:link w:val="7"/>
    <w:autoRedefine/>
    <w:qFormat/>
    <w:uiPriority w:val="99"/>
    <w:rPr>
      <w:kern w:val="2"/>
      <w:sz w:val="18"/>
      <w:szCs w:val="18"/>
    </w:rPr>
  </w:style>
  <w:style w:type="character" w:customStyle="1" w:styleId="21">
    <w:name w:val="批注主题 字符"/>
    <w:link w:val="10"/>
    <w:autoRedefine/>
    <w:qFormat/>
    <w:uiPriority w:val="0"/>
    <w:rPr>
      <w:rFonts w:ascii="Calibri" w:hAnsi="Calibri"/>
      <w:b/>
      <w:bCs/>
      <w:kern w:val="2"/>
      <w:sz w:val="21"/>
      <w:szCs w:val="24"/>
    </w:rPr>
  </w:style>
  <w:style w:type="paragraph" w:customStyle="1" w:styleId="22">
    <w:name w:val="Char Char Char Char"/>
    <w:basedOn w:val="1"/>
    <w:autoRedefine/>
    <w:qFormat/>
    <w:uiPriority w:val="0"/>
    <w:pPr>
      <w:widowControl/>
      <w:spacing w:after="160" w:line="240" w:lineRule="exact"/>
      <w:jc w:val="left"/>
    </w:pPr>
  </w:style>
  <w:style w:type="paragraph" w:styleId="23">
    <w:name w:val="List Paragraph"/>
    <w:basedOn w:val="1"/>
    <w:autoRedefine/>
    <w:qFormat/>
    <w:uiPriority w:val="99"/>
    <w:pPr>
      <w:ind w:left="138" w:right="436" w:firstLine="638"/>
    </w:pPr>
    <w:rPr>
      <w:rFonts w:ascii="宋体" w:hAnsi="宋体" w:cs="宋体"/>
      <w:lang w:val="zh-CN" w:bidi="zh-CN"/>
    </w:rPr>
  </w:style>
  <w:style w:type="paragraph" w:customStyle="1" w:styleId="24">
    <w:name w:val="修订1"/>
    <w:autoRedefine/>
    <w:unhideWhenUsed/>
    <w:qFormat/>
    <w:uiPriority w:val="99"/>
    <w:rPr>
      <w:rFonts w:ascii="Times New Roman" w:hAnsi="Times New Roman" w:eastAsia="宋体" w:cs="Times New Roman"/>
      <w:kern w:val="2"/>
      <w:sz w:val="21"/>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微软中国</Company>
  <Pages>15</Pages>
  <Words>7661</Words>
  <Characters>8115</Characters>
  <Lines>61</Lines>
  <Paragraphs>17</Paragraphs>
  <TotalTime>37</TotalTime>
  <ScaleCrop>false</ScaleCrop>
  <LinksUpToDate>false</LinksUpToDate>
  <CharactersWithSpaces>8391</CharactersWithSpaces>
  <Application>WPS Office_12.1.0.17827_F1E327BC-269C-435d-A152-05C5408002CA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2022-12-31T06:10:00Z</dcterms:created>
  <dc:creator>微软用户</dc:creator>
  <cp:lastModifiedBy>刘芳芳</cp:lastModifiedBy>
  <cp:lastPrinted>2025-01-16T01:11:00Z</cp:lastPrinted>
  <dcterms:modified xsi:type="dcterms:W3CDTF">2025-01-24T09:06:40Z</dcterms:modified>
  <dc:title>湖南商务职业技术学院2014年招生章程</dc:title>
  <cp:revision>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A5E0DFAF6C6C4B889207B31A937F86EA_13</vt:lpwstr>
  </property>
</Properties>
</file>