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F6DB0">
      <w:pPr>
        <w:spacing w:before="156" w:beforeLines="50" w:after="156" w:afterLines="50" w:line="500" w:lineRule="exact"/>
        <w:jc w:val="center"/>
        <w:rPr>
          <w:rFonts w:hint="eastAsia" w:ascii="等线" w:hAnsi="等线" w:eastAsia="华文中宋" w:cs="华文中宋"/>
          <w:b/>
          <w:bCs/>
          <w:sz w:val="36"/>
          <w:szCs w:val="36"/>
        </w:rPr>
      </w:pPr>
      <w:bookmarkStart w:id="0" w:name="zhengwen"/>
      <w:bookmarkStart w:id="4" w:name="_GoBack"/>
      <w:bookmarkEnd w:id="4"/>
      <w:r>
        <w:rPr>
          <w:rFonts w:hint="eastAsia" w:ascii="等线" w:hAnsi="等线" w:eastAsia="华文中宋" w:cs="华文中宋"/>
          <w:b/>
          <w:bCs/>
          <w:sz w:val="36"/>
          <w:szCs w:val="36"/>
        </w:rPr>
        <w:t>湖南石油化工职业技术学院2025年高职单招章程</w:t>
      </w:r>
    </w:p>
    <w:p w14:paraId="6F5F6DB1">
      <w:pPr>
        <w:numPr>
          <w:ilvl w:val="0"/>
          <w:numId w:val="1"/>
        </w:numPr>
        <w:spacing w:before="312" w:beforeLines="10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总 则</w:t>
      </w:r>
    </w:p>
    <w:p w14:paraId="6F5F6DB2">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2025年高职（高专）院校单独招生工作的通知》（湘教通〔2024〕271号）有关要求，结合学校单独招生工作（以下简称单招）实际，特制定本章程。</w:t>
      </w:r>
    </w:p>
    <w:p w14:paraId="6F5F6DB3">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学校全称：湖南石油化工职业技术学院</w:t>
      </w:r>
    </w:p>
    <w:p w14:paraId="6F5F6DB4">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办学地点：湖南省岳阳市湘北大道新开镇</w:t>
      </w:r>
    </w:p>
    <w:p w14:paraId="6F5F6DB5">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主管部门：湖南省教育厅</w:t>
      </w:r>
    </w:p>
    <w:p w14:paraId="6F5F6DB6">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办学层次：高职（专科）</w:t>
      </w:r>
    </w:p>
    <w:p w14:paraId="6F5F6DB7">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湖南省院校代号：</w:t>
      </w:r>
      <w:r>
        <w:rPr>
          <w:rFonts w:ascii="等线" w:hAnsi="等线" w:eastAsia="仿宋" w:cs="仿宋"/>
          <w:sz w:val="28"/>
          <w:szCs w:val="28"/>
        </w:rPr>
        <w:t>4704</w:t>
      </w:r>
    </w:p>
    <w:p w14:paraId="6F5F6DB8">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办学类型：公办</w:t>
      </w:r>
    </w:p>
    <w:p w14:paraId="6F5F6DB9">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颁发学历证书的学校名称：湖南石油化工职业技术学院。证书种类：普通高等学校全日制专科毕业证书。</w:t>
      </w:r>
    </w:p>
    <w:p w14:paraId="6F5F6DBA">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学校单招工作遵循“公平竞争、公正选拔、公开透明”的原则，坚决执行招生政策规定和纪律要求，严格实施考试招生“阳光工程”。</w:t>
      </w:r>
    </w:p>
    <w:p w14:paraId="6F5F6DBB">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简介：湖南石油化工职业技术学院是湖南省教育厅直属的全日制普通高等学校，是中南地区唯一一所全面对接石油化工行业产业集群的公办高职院校。学校办学45年来，始终精耕石油化工这一国家战略性支柱产业。现设有四个教学二级学院，石化工程学院、石化材料学院、机电工程学院、人工智能学院，全面对接石化中下游产业链的石化产品生产与储运产业群、石化装备维护与控制产业群、石化相关服务产业群。学校坚持“五化强技、五德并育”的人才培养模式，努力培养具备“人文品质、石化特质、劳模潜质”的高素质技术技能型人才。</w:t>
      </w:r>
    </w:p>
    <w:p w14:paraId="6F5F6DBC">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组织机构及职责</w:t>
      </w:r>
    </w:p>
    <w:p w14:paraId="6F5F6DBD">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学校招生工作领导小组负责研究决定本校单招规模确定、政策制订等重大事项，学校招生就业处负责单招组织实施的日常工作及单招的考试组织工作。</w:t>
      </w:r>
    </w:p>
    <w:p w14:paraId="6F5F6DBE">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学校纪委负责全程监督检查单招工作。</w:t>
      </w:r>
    </w:p>
    <w:p w14:paraId="6F5F6DB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单招报考</w:t>
      </w:r>
    </w:p>
    <w:p w14:paraId="6F5F6DC0">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符合我省2025年普通高考（含对口招生考试）报名条件并已参加高考报名的人员均可报考。</w:t>
      </w:r>
    </w:p>
    <w:p w14:paraId="6F5F6DC1">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单招考生填报志愿的时间统一自2025年2月18日8:00开始，至2月25日17:00结束，实行网上报考和填报志愿。单招报考设第一志愿和第二志愿，考生可选择1－2所院校在指定网上平台进行报考。</w:t>
      </w:r>
    </w:p>
    <w:p w14:paraId="6F5F6DC2">
      <w:pPr>
        <w:spacing w:line="6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sz w:val="28"/>
          <w:szCs w:val="28"/>
        </w:rPr>
        <w:t>。</w:t>
      </w:r>
      <w:r>
        <w:rPr>
          <w:rFonts w:hint="eastAsia" w:ascii="等线" w:hAnsi="等线" w:eastAsia="仿宋" w:cs="仿宋"/>
          <w:sz w:val="28"/>
          <w:szCs w:val="28"/>
        </w:rPr>
        <w:t>请考生在报考前关注我校网站（</w:t>
      </w:r>
      <w:r>
        <w:rPr>
          <w:rFonts w:ascii="仿宋" w:hAnsi="仿宋" w:eastAsia="仿宋" w:cs="仿宋"/>
          <w:sz w:val="28"/>
          <w:szCs w:val="28"/>
          <w:u w:val="single"/>
        </w:rPr>
        <w:t>http://www.hnshzy.cn/zsxx/</w:t>
      </w:r>
      <w:r>
        <w:rPr>
          <w:rFonts w:hint="eastAsia" w:ascii="等线" w:hAnsi="等线" w:eastAsia="仿宋" w:cs="仿宋"/>
          <w:sz w:val="28"/>
          <w:szCs w:val="28"/>
        </w:rPr>
        <w:t>）公布的有关信息。</w:t>
      </w:r>
    </w:p>
    <w:p w14:paraId="6F5F6DC3">
      <w:pPr>
        <w:spacing w:line="6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第十条</w:t>
      </w:r>
      <w:r>
        <w:rPr>
          <w:rFonts w:hint="eastAsia" w:ascii="等线" w:hAnsi="等线" w:eastAsia="仿宋" w:cs="仿宋"/>
          <w:sz w:val="28"/>
          <w:szCs w:val="28"/>
        </w:rPr>
        <w:t xml:space="preserve"> 填报专业要求。考生在填报我校志愿时，需选择1—6个专业，并确定是否选择专业服从调剂。</w:t>
      </w:r>
    </w:p>
    <w:p w14:paraId="6F5F6DC4">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第十一条 </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6F5F6DC5">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社会人员考生资格证明材料。所有社会人员考生均须提供本人身份证复印件及《湖南省2025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6F5F6DC6">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2.材料提交时间及方式。考生须在2025年</w:t>
      </w:r>
      <w:r>
        <w:rPr>
          <w:rFonts w:ascii="等线" w:hAnsi="等线" w:eastAsia="仿宋" w:cs="仿宋"/>
          <w:sz w:val="28"/>
          <w:szCs w:val="28"/>
        </w:rPr>
        <w:t>2</w:t>
      </w:r>
      <w:r>
        <w:rPr>
          <w:rFonts w:hint="eastAsia" w:ascii="等线" w:hAnsi="等线" w:eastAsia="仿宋" w:cs="仿宋"/>
          <w:sz w:val="28"/>
          <w:szCs w:val="28"/>
        </w:rPr>
        <w:t>月18日8:00至</w:t>
      </w:r>
      <w:r>
        <w:rPr>
          <w:rFonts w:ascii="等线" w:hAnsi="等线" w:eastAsia="仿宋" w:cs="仿宋"/>
          <w:sz w:val="28"/>
          <w:szCs w:val="28"/>
        </w:rPr>
        <w:t>2</w:t>
      </w:r>
      <w:r>
        <w:rPr>
          <w:rFonts w:hint="eastAsia" w:ascii="等线" w:hAnsi="等线" w:eastAsia="仿宋" w:cs="仿宋"/>
          <w:sz w:val="28"/>
          <w:szCs w:val="28"/>
        </w:rPr>
        <w:t>月22日8:00期间将符合上述要求的证明材料，通过本人现场提交方式交由我校招生就业处审核，审核通过的考生方能以社会人员身份报考我校，逾期不再受理。（联系方式：</w:t>
      </w:r>
      <w:r>
        <w:rPr>
          <w:rFonts w:ascii="等线" w:hAnsi="等线" w:eastAsia="仿宋" w:cs="仿宋"/>
          <w:sz w:val="28"/>
          <w:szCs w:val="28"/>
        </w:rPr>
        <w:t>0730-3066601</w:t>
      </w:r>
      <w:r>
        <w:rPr>
          <w:rFonts w:hint="eastAsia" w:ascii="等线" w:hAnsi="等线" w:eastAsia="仿宋" w:cs="仿宋"/>
          <w:sz w:val="28"/>
          <w:szCs w:val="28"/>
        </w:rPr>
        <w:t>、0</w:t>
      </w:r>
      <w:r>
        <w:rPr>
          <w:rFonts w:ascii="等线" w:hAnsi="等线" w:eastAsia="仿宋" w:cs="仿宋"/>
          <w:sz w:val="28"/>
          <w:szCs w:val="28"/>
        </w:rPr>
        <w:t>730-3066602</w:t>
      </w:r>
      <w:r>
        <w:rPr>
          <w:rFonts w:hint="eastAsia" w:ascii="等线" w:hAnsi="等线" w:eastAsia="仿宋" w:cs="仿宋"/>
          <w:sz w:val="28"/>
          <w:szCs w:val="28"/>
        </w:rPr>
        <w:t>）</w:t>
      </w:r>
    </w:p>
    <w:p w14:paraId="6F5F6DC7">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单招计划及专业</w:t>
      </w:r>
    </w:p>
    <w:p w14:paraId="6F5F6DC8">
      <w:pPr>
        <w:widowControl/>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第十二条 </w:t>
      </w:r>
      <w:r>
        <w:rPr>
          <w:rFonts w:hint="eastAsia" w:ascii="等线" w:hAnsi="等线" w:eastAsia="仿宋" w:cs="仿宋"/>
          <w:sz w:val="28"/>
          <w:szCs w:val="28"/>
        </w:rPr>
        <w:t>我校2025年单招总计划数为</w:t>
      </w:r>
      <w:r>
        <w:rPr>
          <w:rFonts w:ascii="等线" w:hAnsi="等线" w:eastAsia="仿宋" w:cs="仿宋"/>
          <w:sz w:val="28"/>
          <w:szCs w:val="28"/>
        </w:rPr>
        <w:t>1</w:t>
      </w:r>
      <w:r>
        <w:rPr>
          <w:rFonts w:hint="eastAsia" w:ascii="等线" w:hAnsi="等线" w:eastAsia="仿宋" w:cs="仿宋"/>
          <w:sz w:val="28"/>
          <w:szCs w:val="28"/>
        </w:rPr>
        <w:t>690人，其中包含单列计划的退役军人10人、其他社会人员90人、体育特长生5人（田径）。本校2025年单独招生专业及分专业招生计划以湖南省教育考试院公布的为准，各专业最终学费标准以2025年湖南省物价主管部门审核为准。</w:t>
      </w:r>
    </w:p>
    <w:p w14:paraId="6F5F6DC9">
      <w:pPr>
        <w:widowControl/>
        <w:jc w:val="left"/>
        <w:rPr>
          <w:rFonts w:hint="eastAsia" w:ascii="等线" w:hAnsi="等线" w:eastAsia="仿宋" w:cs="仿宋"/>
          <w:sz w:val="28"/>
          <w:szCs w:val="28"/>
        </w:rPr>
      </w:pPr>
      <w:r>
        <w:rPr>
          <w:rFonts w:hint="eastAsia" w:ascii="等线" w:hAnsi="等线" w:eastAsia="仿宋" w:cs="仿宋"/>
          <w:sz w:val="28"/>
          <w:szCs w:val="28"/>
        </w:rPr>
        <w:br w:type="page"/>
      </w:r>
    </w:p>
    <w:tbl>
      <w:tblPr>
        <w:tblStyle w:val="11"/>
        <w:tblW w:w="7300" w:type="dxa"/>
        <w:jc w:val="center"/>
        <w:tblLayout w:type="autofit"/>
        <w:tblCellMar>
          <w:top w:w="0" w:type="dxa"/>
          <w:left w:w="108" w:type="dxa"/>
          <w:bottom w:w="0" w:type="dxa"/>
          <w:right w:w="108" w:type="dxa"/>
        </w:tblCellMar>
      </w:tblPr>
      <w:tblGrid>
        <w:gridCol w:w="1276"/>
        <w:gridCol w:w="4961"/>
        <w:gridCol w:w="1063"/>
      </w:tblGrid>
      <w:tr w14:paraId="6F5F6DCF">
        <w:tblPrEx>
          <w:tblCellMar>
            <w:top w:w="0" w:type="dxa"/>
            <w:left w:w="108" w:type="dxa"/>
            <w:bottom w:w="0" w:type="dxa"/>
            <w:right w:w="108" w:type="dxa"/>
          </w:tblCellMar>
        </w:tblPrEx>
        <w:trPr>
          <w:trHeight w:val="662" w:hRule="exact"/>
          <w:tblHeader/>
          <w:jc w:val="center"/>
        </w:trPr>
        <w:tc>
          <w:tcPr>
            <w:tcW w:w="1276" w:type="dxa"/>
            <w:tcBorders>
              <w:top w:val="single" w:color="auto" w:sz="4" w:space="0"/>
              <w:left w:val="single" w:color="auto" w:sz="4" w:space="0"/>
              <w:bottom w:val="single" w:color="auto" w:sz="4" w:space="0"/>
              <w:right w:val="single" w:color="auto" w:sz="4" w:space="0"/>
            </w:tcBorders>
            <w:noWrap/>
            <w:vAlign w:val="center"/>
          </w:tcPr>
          <w:p w14:paraId="6F5F6DCA">
            <w:pPr>
              <w:widowControl/>
              <w:jc w:val="center"/>
              <w:textAlignment w:val="center"/>
              <w:rPr>
                <w:rFonts w:hint="eastAsia" w:ascii="宋体" w:hAnsi="宋体" w:cs="宋体"/>
                <w:b/>
                <w:kern w:val="0"/>
                <w:szCs w:val="21"/>
              </w:rPr>
            </w:pPr>
            <w:r>
              <w:rPr>
                <w:rFonts w:hint="eastAsia" w:ascii="宋体" w:hAnsi="宋体" w:cs="宋体"/>
                <w:b/>
                <w:bCs/>
                <w:kern w:val="0"/>
                <w:szCs w:val="21"/>
                <w:lang w:bidi="ar"/>
              </w:rPr>
              <w:t>专业组</w:t>
            </w:r>
          </w:p>
        </w:tc>
        <w:tc>
          <w:tcPr>
            <w:tcW w:w="4961" w:type="dxa"/>
            <w:tcBorders>
              <w:top w:val="single" w:color="auto" w:sz="4" w:space="0"/>
              <w:left w:val="nil"/>
              <w:bottom w:val="single" w:color="auto" w:sz="4" w:space="0"/>
              <w:right w:val="single" w:color="auto" w:sz="4" w:space="0"/>
            </w:tcBorders>
            <w:noWrap/>
            <w:vAlign w:val="center"/>
          </w:tcPr>
          <w:p w14:paraId="6F5F6DCB">
            <w:pPr>
              <w:widowControl/>
              <w:jc w:val="center"/>
              <w:textAlignment w:val="center"/>
              <w:rPr>
                <w:rFonts w:hint="eastAsia" w:ascii="宋体" w:hAnsi="宋体" w:cs="宋体"/>
                <w:b/>
                <w:kern w:val="0"/>
                <w:szCs w:val="21"/>
              </w:rPr>
            </w:pPr>
            <w:r>
              <w:rPr>
                <w:rFonts w:hint="eastAsia" w:ascii="宋体" w:hAnsi="宋体" w:cs="宋体"/>
                <w:b/>
                <w:bCs/>
                <w:kern w:val="0"/>
                <w:szCs w:val="21"/>
                <w:lang w:bidi="ar"/>
              </w:rPr>
              <w:t>拟招生专业名称</w:t>
            </w:r>
          </w:p>
        </w:tc>
        <w:tc>
          <w:tcPr>
            <w:tcW w:w="1063" w:type="dxa"/>
            <w:tcBorders>
              <w:top w:val="single" w:color="auto" w:sz="4" w:space="0"/>
              <w:left w:val="nil"/>
              <w:bottom w:val="single" w:color="auto" w:sz="4" w:space="0"/>
              <w:right w:val="single" w:color="auto" w:sz="4" w:space="0"/>
            </w:tcBorders>
            <w:noWrap/>
            <w:vAlign w:val="center"/>
          </w:tcPr>
          <w:p w14:paraId="6F5F6DCD">
            <w:pPr>
              <w:widowControl/>
              <w:jc w:val="center"/>
              <w:textAlignment w:val="center"/>
            </w:pPr>
            <w:r>
              <w:rPr>
                <w:rFonts w:hint="eastAsia" w:ascii="宋体" w:hAnsi="宋体" w:cs="宋体"/>
                <w:b/>
                <w:bCs/>
                <w:kern w:val="0"/>
                <w:szCs w:val="21"/>
                <w:lang w:bidi="ar"/>
              </w:rPr>
              <w:t>学费</w:t>
            </w:r>
          </w:p>
          <w:p w14:paraId="6F5F6DCE">
            <w:pPr>
              <w:widowControl/>
              <w:jc w:val="center"/>
              <w:textAlignment w:val="center"/>
              <w:rPr>
                <w:rFonts w:hint="eastAsia" w:ascii="宋体" w:hAnsi="宋体" w:cs="宋体"/>
                <w:b/>
                <w:kern w:val="0"/>
                <w:szCs w:val="21"/>
              </w:rPr>
            </w:pPr>
            <w:r>
              <w:rPr>
                <w:rFonts w:hint="eastAsia" w:ascii="宋体" w:hAnsi="宋体" w:cs="宋体"/>
                <w:b/>
                <w:bCs/>
                <w:kern w:val="0"/>
                <w:szCs w:val="21"/>
                <w:lang w:bidi="ar"/>
              </w:rPr>
              <w:t>（元/年）</w:t>
            </w:r>
          </w:p>
        </w:tc>
      </w:tr>
      <w:tr w14:paraId="6F5F6DD4">
        <w:tblPrEx>
          <w:tblCellMar>
            <w:top w:w="0" w:type="dxa"/>
            <w:left w:w="108" w:type="dxa"/>
            <w:bottom w:w="0" w:type="dxa"/>
            <w:right w:w="108" w:type="dxa"/>
          </w:tblCellMar>
        </w:tblPrEx>
        <w:trPr>
          <w:trHeight w:val="425" w:hRule="exact"/>
          <w:tblHeader/>
          <w:jc w:val="center"/>
        </w:trPr>
        <w:tc>
          <w:tcPr>
            <w:tcW w:w="1276" w:type="dxa"/>
            <w:vMerge w:val="restart"/>
            <w:tcBorders>
              <w:top w:val="single" w:color="auto" w:sz="4" w:space="0"/>
              <w:left w:val="single" w:color="auto" w:sz="4" w:space="0"/>
              <w:bottom w:val="single" w:color="auto" w:sz="4" w:space="0"/>
              <w:right w:val="single" w:color="auto" w:sz="4" w:space="0"/>
            </w:tcBorders>
            <w:noWrap/>
            <w:vAlign w:val="center"/>
          </w:tcPr>
          <w:p w14:paraId="6F5F6DD0">
            <w:pPr>
              <w:widowControl/>
              <w:jc w:val="center"/>
              <w:textAlignment w:val="center"/>
              <w:rPr>
                <w:rFonts w:hint="eastAsia" w:ascii="宋体" w:hAnsi="宋体" w:cs="宋体"/>
                <w:kern w:val="0"/>
                <w:szCs w:val="21"/>
              </w:rPr>
            </w:pPr>
            <w:r>
              <w:rPr>
                <w:rFonts w:hint="eastAsia" w:ascii="宋体" w:hAnsi="宋体" w:cs="宋体"/>
                <w:kern w:val="0"/>
                <w:szCs w:val="21"/>
              </w:rPr>
              <w:t>不分专业组</w:t>
            </w:r>
          </w:p>
        </w:tc>
        <w:tc>
          <w:tcPr>
            <w:tcW w:w="4961" w:type="dxa"/>
            <w:tcBorders>
              <w:top w:val="single" w:color="auto" w:sz="4" w:space="0"/>
              <w:left w:val="nil"/>
              <w:bottom w:val="single" w:color="auto" w:sz="4" w:space="0"/>
              <w:right w:val="single" w:color="auto" w:sz="4" w:space="0"/>
            </w:tcBorders>
            <w:noWrap/>
            <w:vAlign w:val="center"/>
          </w:tcPr>
          <w:p w14:paraId="6F5F6DD1">
            <w:pPr>
              <w:jc w:val="center"/>
              <w:rPr>
                <w:rFonts w:hint="eastAsia" w:ascii="宋体" w:hAnsi="宋体"/>
                <w:szCs w:val="21"/>
              </w:rPr>
            </w:pPr>
            <w:r>
              <w:rPr>
                <w:rFonts w:hint="eastAsia" w:ascii="仿宋" w:hAnsi="仿宋" w:eastAsia="仿宋"/>
              </w:rPr>
              <w:t>石油化工技术</w:t>
            </w:r>
          </w:p>
        </w:tc>
        <w:tc>
          <w:tcPr>
            <w:tcW w:w="1063" w:type="dxa"/>
            <w:tcBorders>
              <w:top w:val="single" w:color="auto" w:sz="4" w:space="0"/>
              <w:left w:val="nil"/>
              <w:bottom w:val="single" w:color="auto" w:sz="4" w:space="0"/>
              <w:right w:val="single" w:color="auto" w:sz="4" w:space="0"/>
            </w:tcBorders>
            <w:noWrap/>
            <w:vAlign w:val="center"/>
          </w:tcPr>
          <w:p w14:paraId="6F5F6DD3">
            <w:pPr>
              <w:widowControl/>
              <w:jc w:val="center"/>
              <w:textAlignment w:val="center"/>
              <w:rPr>
                <w:rFonts w:hint="eastAsia" w:ascii="宋体" w:hAnsi="宋体" w:cs="宋体"/>
                <w:kern w:val="0"/>
                <w:szCs w:val="21"/>
              </w:rPr>
            </w:pPr>
            <w:r>
              <w:rPr>
                <w:rFonts w:hint="eastAsia" w:ascii="仿宋" w:hAnsi="仿宋" w:eastAsia="仿宋"/>
                <w:sz w:val="22"/>
                <w:szCs w:val="22"/>
              </w:rPr>
              <w:t>5060</w:t>
            </w:r>
          </w:p>
        </w:tc>
      </w:tr>
      <w:tr w14:paraId="6F5F6DD9">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D5">
            <w:pPr>
              <w:jc w:val="center"/>
              <w:textAlignment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D6">
            <w:pPr>
              <w:jc w:val="center"/>
              <w:rPr>
                <w:rFonts w:hint="eastAsia" w:ascii="宋体" w:hAnsi="宋体"/>
                <w:szCs w:val="21"/>
              </w:rPr>
            </w:pPr>
            <w:r>
              <w:rPr>
                <w:rFonts w:hint="eastAsia" w:ascii="仿宋" w:hAnsi="仿宋" w:eastAsia="仿宋"/>
              </w:rPr>
              <w:t>石油炼制技术</w:t>
            </w:r>
          </w:p>
        </w:tc>
        <w:tc>
          <w:tcPr>
            <w:tcW w:w="1063" w:type="dxa"/>
            <w:tcBorders>
              <w:top w:val="single" w:color="auto" w:sz="4" w:space="0"/>
              <w:left w:val="nil"/>
              <w:bottom w:val="single" w:color="auto" w:sz="4" w:space="0"/>
              <w:right w:val="single" w:color="auto" w:sz="4" w:space="0"/>
            </w:tcBorders>
            <w:noWrap/>
            <w:vAlign w:val="center"/>
          </w:tcPr>
          <w:p w14:paraId="6F5F6DD8">
            <w:pPr>
              <w:widowControl/>
              <w:jc w:val="center"/>
              <w:textAlignment w:val="center"/>
              <w:rPr>
                <w:rFonts w:hint="eastAsia" w:ascii="宋体" w:hAnsi="宋体"/>
                <w:szCs w:val="21"/>
              </w:rPr>
            </w:pPr>
            <w:r>
              <w:rPr>
                <w:rFonts w:hint="eastAsia" w:ascii="仿宋" w:hAnsi="仿宋" w:eastAsia="仿宋"/>
                <w:sz w:val="22"/>
                <w:szCs w:val="22"/>
              </w:rPr>
              <w:t>4600</w:t>
            </w:r>
          </w:p>
        </w:tc>
      </w:tr>
      <w:tr w14:paraId="6F5F6DDE">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DA">
            <w:pPr>
              <w:jc w:val="center"/>
              <w:textAlignment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DB">
            <w:pPr>
              <w:jc w:val="center"/>
              <w:rPr>
                <w:rFonts w:hint="eastAsia" w:ascii="宋体" w:hAnsi="宋体"/>
                <w:szCs w:val="21"/>
              </w:rPr>
            </w:pPr>
            <w:r>
              <w:rPr>
                <w:rFonts w:hint="eastAsia" w:ascii="仿宋" w:hAnsi="仿宋" w:eastAsia="仿宋"/>
              </w:rPr>
              <w:t>分析检验技术</w:t>
            </w:r>
          </w:p>
        </w:tc>
        <w:tc>
          <w:tcPr>
            <w:tcW w:w="1063" w:type="dxa"/>
            <w:tcBorders>
              <w:top w:val="single" w:color="auto" w:sz="4" w:space="0"/>
              <w:left w:val="nil"/>
              <w:bottom w:val="single" w:color="auto" w:sz="4" w:space="0"/>
              <w:right w:val="single" w:color="auto" w:sz="4" w:space="0"/>
            </w:tcBorders>
            <w:noWrap/>
            <w:vAlign w:val="center"/>
          </w:tcPr>
          <w:p w14:paraId="6F5F6DDD">
            <w:pPr>
              <w:widowControl/>
              <w:jc w:val="center"/>
              <w:textAlignment w:val="center"/>
              <w:rPr>
                <w:rFonts w:hint="eastAsia" w:ascii="宋体" w:hAnsi="宋体"/>
                <w:szCs w:val="21"/>
              </w:rPr>
            </w:pPr>
            <w:r>
              <w:rPr>
                <w:rFonts w:hint="eastAsia" w:ascii="仿宋" w:hAnsi="仿宋" w:eastAsia="仿宋"/>
                <w:sz w:val="22"/>
                <w:szCs w:val="22"/>
              </w:rPr>
              <w:t>5060</w:t>
            </w:r>
          </w:p>
        </w:tc>
      </w:tr>
      <w:tr w14:paraId="6F5F6DE3">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DF">
            <w:pPr>
              <w:jc w:val="center"/>
              <w:textAlignment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E0">
            <w:pPr>
              <w:jc w:val="center"/>
              <w:rPr>
                <w:rFonts w:hint="eastAsia" w:ascii="宋体" w:hAnsi="宋体"/>
                <w:szCs w:val="21"/>
              </w:rPr>
            </w:pPr>
            <w:r>
              <w:rPr>
                <w:rFonts w:hint="eastAsia" w:ascii="仿宋" w:hAnsi="仿宋" w:eastAsia="仿宋"/>
              </w:rPr>
              <w:t>油气储运技术</w:t>
            </w:r>
          </w:p>
        </w:tc>
        <w:tc>
          <w:tcPr>
            <w:tcW w:w="1063" w:type="dxa"/>
            <w:tcBorders>
              <w:top w:val="single" w:color="auto" w:sz="4" w:space="0"/>
              <w:left w:val="nil"/>
              <w:bottom w:val="single" w:color="auto" w:sz="4" w:space="0"/>
              <w:right w:val="single" w:color="auto" w:sz="4" w:space="0"/>
            </w:tcBorders>
            <w:noWrap/>
            <w:vAlign w:val="center"/>
          </w:tcPr>
          <w:p w14:paraId="6F5F6DE2">
            <w:pPr>
              <w:widowControl/>
              <w:jc w:val="center"/>
              <w:textAlignment w:val="center"/>
              <w:rPr>
                <w:rFonts w:hint="eastAsia" w:ascii="宋体" w:hAnsi="宋体"/>
                <w:szCs w:val="21"/>
              </w:rPr>
            </w:pPr>
            <w:r>
              <w:rPr>
                <w:rFonts w:hint="eastAsia" w:ascii="仿宋" w:hAnsi="仿宋" w:eastAsia="仿宋"/>
                <w:sz w:val="22"/>
                <w:szCs w:val="22"/>
              </w:rPr>
              <w:t>4600</w:t>
            </w:r>
          </w:p>
        </w:tc>
      </w:tr>
      <w:tr w14:paraId="6F5F6DE8">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E4">
            <w:pPr>
              <w:jc w:val="center"/>
              <w:textAlignment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E5">
            <w:pPr>
              <w:jc w:val="center"/>
              <w:rPr>
                <w:rFonts w:hint="eastAsia" w:ascii="宋体" w:hAnsi="宋体"/>
                <w:szCs w:val="21"/>
              </w:rPr>
            </w:pPr>
            <w:r>
              <w:rPr>
                <w:rFonts w:hint="eastAsia" w:ascii="仿宋" w:hAnsi="仿宋" w:eastAsia="仿宋"/>
              </w:rPr>
              <w:t>应用化工技术</w:t>
            </w:r>
          </w:p>
        </w:tc>
        <w:tc>
          <w:tcPr>
            <w:tcW w:w="1063" w:type="dxa"/>
            <w:tcBorders>
              <w:top w:val="single" w:color="auto" w:sz="4" w:space="0"/>
              <w:left w:val="nil"/>
              <w:bottom w:val="single" w:color="auto" w:sz="4" w:space="0"/>
              <w:right w:val="single" w:color="auto" w:sz="4" w:space="0"/>
            </w:tcBorders>
            <w:noWrap/>
            <w:vAlign w:val="center"/>
          </w:tcPr>
          <w:p w14:paraId="6F5F6DE7">
            <w:pPr>
              <w:widowControl/>
              <w:jc w:val="center"/>
              <w:textAlignment w:val="center"/>
              <w:rPr>
                <w:rFonts w:hint="eastAsia" w:ascii="宋体" w:hAnsi="宋体"/>
                <w:szCs w:val="21"/>
              </w:rPr>
            </w:pPr>
            <w:r>
              <w:rPr>
                <w:rFonts w:hint="eastAsia" w:ascii="仿宋" w:hAnsi="仿宋" w:eastAsia="仿宋"/>
                <w:sz w:val="22"/>
                <w:szCs w:val="22"/>
              </w:rPr>
              <w:t>5060</w:t>
            </w:r>
          </w:p>
        </w:tc>
      </w:tr>
      <w:tr w14:paraId="6F5F6DED">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E9">
            <w:pPr>
              <w:jc w:val="center"/>
              <w:textAlignment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EA">
            <w:pPr>
              <w:jc w:val="center"/>
              <w:rPr>
                <w:rFonts w:hint="eastAsia" w:ascii="宋体" w:hAnsi="宋体"/>
                <w:szCs w:val="21"/>
              </w:rPr>
            </w:pPr>
            <w:r>
              <w:rPr>
                <w:rFonts w:hint="eastAsia" w:ascii="仿宋" w:hAnsi="仿宋" w:eastAsia="仿宋"/>
              </w:rPr>
              <w:t>环境监测技术</w:t>
            </w:r>
          </w:p>
        </w:tc>
        <w:tc>
          <w:tcPr>
            <w:tcW w:w="1063" w:type="dxa"/>
            <w:tcBorders>
              <w:top w:val="single" w:color="auto" w:sz="4" w:space="0"/>
              <w:left w:val="nil"/>
              <w:bottom w:val="single" w:color="auto" w:sz="4" w:space="0"/>
              <w:right w:val="single" w:color="auto" w:sz="4" w:space="0"/>
            </w:tcBorders>
            <w:noWrap/>
            <w:vAlign w:val="center"/>
          </w:tcPr>
          <w:p w14:paraId="6F5F6DEC">
            <w:pPr>
              <w:widowControl/>
              <w:jc w:val="center"/>
              <w:textAlignment w:val="center"/>
              <w:rPr>
                <w:rFonts w:hint="eastAsia" w:ascii="宋体" w:hAnsi="宋体"/>
                <w:szCs w:val="21"/>
              </w:rPr>
            </w:pPr>
            <w:r>
              <w:rPr>
                <w:rFonts w:hint="eastAsia" w:ascii="仿宋" w:hAnsi="仿宋" w:eastAsia="仿宋"/>
                <w:sz w:val="22"/>
                <w:szCs w:val="22"/>
              </w:rPr>
              <w:t>4600</w:t>
            </w:r>
          </w:p>
        </w:tc>
      </w:tr>
      <w:tr w14:paraId="6F5F6DF2">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noWrap/>
            <w:vAlign w:val="center"/>
          </w:tcPr>
          <w:p w14:paraId="6F5F6DEE">
            <w:pPr>
              <w:widowControl/>
              <w:jc w:val="center"/>
              <w:textAlignment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EF">
            <w:pPr>
              <w:jc w:val="center"/>
              <w:rPr>
                <w:rFonts w:hint="eastAsia" w:ascii="宋体" w:hAnsi="宋体" w:cs="宋体"/>
                <w:szCs w:val="21"/>
              </w:rPr>
            </w:pPr>
            <w:r>
              <w:rPr>
                <w:rFonts w:hint="eastAsia" w:ascii="仿宋" w:hAnsi="仿宋" w:eastAsia="仿宋"/>
              </w:rPr>
              <w:t>安全技术与管理</w:t>
            </w:r>
          </w:p>
        </w:tc>
        <w:tc>
          <w:tcPr>
            <w:tcW w:w="1063" w:type="dxa"/>
            <w:tcBorders>
              <w:top w:val="single" w:color="auto" w:sz="4" w:space="0"/>
              <w:left w:val="nil"/>
              <w:bottom w:val="single" w:color="auto" w:sz="4" w:space="0"/>
              <w:right w:val="single" w:color="auto" w:sz="4" w:space="0"/>
            </w:tcBorders>
            <w:noWrap/>
            <w:vAlign w:val="center"/>
          </w:tcPr>
          <w:p w14:paraId="6F5F6DF1">
            <w:pPr>
              <w:widowControl/>
              <w:jc w:val="center"/>
              <w:textAlignment w:val="center"/>
              <w:rPr>
                <w:rFonts w:hint="eastAsia" w:ascii="宋体" w:hAnsi="宋体"/>
                <w:szCs w:val="21"/>
              </w:rPr>
            </w:pPr>
            <w:r>
              <w:rPr>
                <w:rFonts w:hint="eastAsia" w:ascii="仿宋" w:hAnsi="仿宋" w:eastAsia="仿宋"/>
                <w:sz w:val="22"/>
                <w:szCs w:val="22"/>
              </w:rPr>
              <w:t>4600</w:t>
            </w:r>
          </w:p>
        </w:tc>
      </w:tr>
      <w:tr w14:paraId="6F5F6DF7">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F3">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F4">
            <w:pPr>
              <w:jc w:val="center"/>
              <w:rPr>
                <w:rFonts w:hint="eastAsia" w:ascii="宋体" w:hAnsi="宋体" w:cs="宋体"/>
                <w:szCs w:val="21"/>
              </w:rPr>
            </w:pPr>
            <w:r>
              <w:rPr>
                <w:rFonts w:hint="eastAsia" w:ascii="仿宋" w:hAnsi="仿宋" w:eastAsia="仿宋"/>
              </w:rPr>
              <w:t>电气自动化技术</w:t>
            </w:r>
          </w:p>
        </w:tc>
        <w:tc>
          <w:tcPr>
            <w:tcW w:w="1063" w:type="dxa"/>
            <w:tcBorders>
              <w:top w:val="single" w:color="auto" w:sz="4" w:space="0"/>
              <w:left w:val="nil"/>
              <w:bottom w:val="single" w:color="auto" w:sz="4" w:space="0"/>
              <w:right w:val="single" w:color="auto" w:sz="4" w:space="0"/>
            </w:tcBorders>
            <w:noWrap/>
            <w:vAlign w:val="center"/>
          </w:tcPr>
          <w:p w14:paraId="6F5F6DF6">
            <w:pPr>
              <w:widowControl/>
              <w:jc w:val="center"/>
              <w:textAlignment w:val="center"/>
              <w:rPr>
                <w:rFonts w:hint="eastAsia" w:ascii="宋体" w:hAnsi="宋体"/>
                <w:szCs w:val="21"/>
              </w:rPr>
            </w:pPr>
            <w:r>
              <w:rPr>
                <w:rFonts w:hint="eastAsia" w:ascii="仿宋" w:hAnsi="仿宋" w:eastAsia="仿宋"/>
                <w:sz w:val="22"/>
                <w:szCs w:val="22"/>
              </w:rPr>
              <w:t>5060</w:t>
            </w:r>
          </w:p>
        </w:tc>
      </w:tr>
      <w:tr w14:paraId="6F5F6DFC">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F8">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F9">
            <w:pPr>
              <w:jc w:val="center"/>
              <w:rPr>
                <w:rFonts w:hint="eastAsia" w:ascii="宋体" w:hAnsi="宋体" w:cs="宋体"/>
                <w:szCs w:val="21"/>
              </w:rPr>
            </w:pPr>
            <w:r>
              <w:rPr>
                <w:rFonts w:hint="eastAsia" w:ascii="仿宋" w:hAnsi="仿宋" w:eastAsia="仿宋"/>
              </w:rPr>
              <w:t>工业过程自动化技术</w:t>
            </w:r>
          </w:p>
        </w:tc>
        <w:tc>
          <w:tcPr>
            <w:tcW w:w="1063" w:type="dxa"/>
            <w:tcBorders>
              <w:top w:val="single" w:color="auto" w:sz="4" w:space="0"/>
              <w:left w:val="nil"/>
              <w:bottom w:val="single" w:color="auto" w:sz="4" w:space="0"/>
              <w:right w:val="single" w:color="auto" w:sz="4" w:space="0"/>
            </w:tcBorders>
            <w:noWrap/>
            <w:vAlign w:val="center"/>
          </w:tcPr>
          <w:p w14:paraId="6F5F6DFB">
            <w:pPr>
              <w:widowControl/>
              <w:jc w:val="center"/>
              <w:textAlignment w:val="center"/>
              <w:rPr>
                <w:rFonts w:hint="eastAsia" w:ascii="宋体" w:hAnsi="宋体"/>
                <w:szCs w:val="21"/>
              </w:rPr>
            </w:pPr>
            <w:r>
              <w:rPr>
                <w:rFonts w:hint="eastAsia" w:ascii="仿宋" w:hAnsi="仿宋" w:eastAsia="仿宋"/>
                <w:sz w:val="22"/>
                <w:szCs w:val="22"/>
              </w:rPr>
              <w:t>5060</w:t>
            </w:r>
          </w:p>
        </w:tc>
      </w:tr>
      <w:tr w14:paraId="6F5F6E01">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DFD">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DFE">
            <w:pPr>
              <w:jc w:val="center"/>
              <w:rPr>
                <w:rFonts w:hint="eastAsia" w:ascii="宋体" w:hAnsi="宋体" w:cs="宋体"/>
                <w:szCs w:val="21"/>
              </w:rPr>
            </w:pPr>
            <w:r>
              <w:rPr>
                <w:rFonts w:hint="eastAsia" w:ascii="仿宋" w:hAnsi="仿宋" w:eastAsia="仿宋"/>
              </w:rPr>
              <w:t>化工装备技术</w:t>
            </w:r>
          </w:p>
        </w:tc>
        <w:tc>
          <w:tcPr>
            <w:tcW w:w="1063" w:type="dxa"/>
            <w:tcBorders>
              <w:top w:val="single" w:color="auto" w:sz="4" w:space="0"/>
              <w:left w:val="nil"/>
              <w:bottom w:val="single" w:color="auto" w:sz="4" w:space="0"/>
              <w:right w:val="single" w:color="auto" w:sz="4" w:space="0"/>
            </w:tcBorders>
            <w:noWrap/>
            <w:vAlign w:val="center"/>
          </w:tcPr>
          <w:p w14:paraId="6F5F6E00">
            <w:pPr>
              <w:widowControl/>
              <w:jc w:val="center"/>
              <w:textAlignment w:val="center"/>
              <w:rPr>
                <w:rFonts w:hint="eastAsia" w:ascii="宋体" w:hAnsi="宋体"/>
                <w:szCs w:val="21"/>
              </w:rPr>
            </w:pPr>
            <w:r>
              <w:rPr>
                <w:rFonts w:hint="eastAsia" w:ascii="仿宋" w:hAnsi="仿宋" w:eastAsia="仿宋"/>
                <w:sz w:val="22"/>
                <w:szCs w:val="22"/>
              </w:rPr>
              <w:t>4600</w:t>
            </w:r>
          </w:p>
        </w:tc>
      </w:tr>
      <w:tr w14:paraId="6F5F6E06">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02">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03">
            <w:pPr>
              <w:jc w:val="center"/>
              <w:rPr>
                <w:rFonts w:hint="eastAsia" w:ascii="宋体" w:hAnsi="宋体" w:cs="宋体"/>
                <w:szCs w:val="21"/>
              </w:rPr>
            </w:pPr>
            <w:r>
              <w:rPr>
                <w:rFonts w:hint="eastAsia" w:ascii="仿宋" w:hAnsi="仿宋" w:eastAsia="仿宋"/>
              </w:rPr>
              <w:t>无人机应用技术</w:t>
            </w:r>
          </w:p>
        </w:tc>
        <w:tc>
          <w:tcPr>
            <w:tcW w:w="1063" w:type="dxa"/>
            <w:tcBorders>
              <w:top w:val="single" w:color="auto" w:sz="4" w:space="0"/>
              <w:left w:val="nil"/>
              <w:bottom w:val="single" w:color="auto" w:sz="4" w:space="0"/>
              <w:right w:val="single" w:color="auto" w:sz="4" w:space="0"/>
            </w:tcBorders>
            <w:noWrap/>
            <w:vAlign w:val="center"/>
          </w:tcPr>
          <w:p w14:paraId="6F5F6E05">
            <w:pPr>
              <w:widowControl/>
              <w:jc w:val="center"/>
              <w:textAlignment w:val="center"/>
              <w:rPr>
                <w:rFonts w:hint="eastAsia" w:ascii="宋体" w:hAnsi="宋体"/>
                <w:szCs w:val="21"/>
              </w:rPr>
            </w:pPr>
            <w:r>
              <w:rPr>
                <w:rFonts w:hint="eastAsia" w:ascii="仿宋" w:hAnsi="仿宋" w:eastAsia="仿宋"/>
                <w:sz w:val="22"/>
                <w:szCs w:val="22"/>
              </w:rPr>
              <w:t>5060</w:t>
            </w:r>
          </w:p>
        </w:tc>
      </w:tr>
      <w:tr w14:paraId="6F5F6E0B">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07">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08">
            <w:pPr>
              <w:jc w:val="center"/>
              <w:rPr>
                <w:rFonts w:hint="eastAsia" w:ascii="宋体" w:hAnsi="宋体" w:cs="宋体"/>
                <w:szCs w:val="21"/>
              </w:rPr>
            </w:pPr>
            <w:r>
              <w:rPr>
                <w:rFonts w:hint="eastAsia" w:ascii="仿宋" w:hAnsi="仿宋" w:eastAsia="仿宋"/>
              </w:rPr>
              <w:t>新能源汽车技术</w:t>
            </w:r>
          </w:p>
        </w:tc>
        <w:tc>
          <w:tcPr>
            <w:tcW w:w="1063" w:type="dxa"/>
            <w:tcBorders>
              <w:top w:val="single" w:color="auto" w:sz="4" w:space="0"/>
              <w:left w:val="nil"/>
              <w:bottom w:val="single" w:color="auto" w:sz="4" w:space="0"/>
              <w:right w:val="single" w:color="auto" w:sz="4" w:space="0"/>
            </w:tcBorders>
            <w:noWrap/>
            <w:vAlign w:val="center"/>
          </w:tcPr>
          <w:p w14:paraId="6F5F6E0A">
            <w:pPr>
              <w:widowControl/>
              <w:jc w:val="center"/>
              <w:textAlignment w:val="center"/>
              <w:rPr>
                <w:rFonts w:hint="eastAsia" w:ascii="宋体" w:hAnsi="宋体"/>
                <w:szCs w:val="21"/>
              </w:rPr>
            </w:pPr>
            <w:r>
              <w:rPr>
                <w:rFonts w:hint="eastAsia" w:ascii="宋体" w:hAnsi="宋体"/>
                <w:szCs w:val="21"/>
              </w:rPr>
              <w:t>5060</w:t>
            </w:r>
          </w:p>
        </w:tc>
      </w:tr>
      <w:tr w14:paraId="6F5F6E10">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0C">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0D">
            <w:pPr>
              <w:jc w:val="center"/>
              <w:rPr>
                <w:rFonts w:hint="eastAsia" w:ascii="宋体" w:hAnsi="宋体" w:cs="宋体"/>
                <w:szCs w:val="21"/>
              </w:rPr>
            </w:pPr>
            <w:r>
              <w:rPr>
                <w:rFonts w:hint="eastAsia" w:ascii="仿宋" w:hAnsi="仿宋" w:eastAsia="仿宋"/>
              </w:rPr>
              <w:t>增材制造技术</w:t>
            </w:r>
          </w:p>
        </w:tc>
        <w:tc>
          <w:tcPr>
            <w:tcW w:w="1063" w:type="dxa"/>
            <w:tcBorders>
              <w:top w:val="single" w:color="auto" w:sz="4" w:space="0"/>
              <w:left w:val="nil"/>
              <w:bottom w:val="single" w:color="auto" w:sz="4" w:space="0"/>
              <w:right w:val="single" w:color="auto" w:sz="4" w:space="0"/>
            </w:tcBorders>
            <w:noWrap/>
            <w:vAlign w:val="center"/>
          </w:tcPr>
          <w:p w14:paraId="6F5F6E0F">
            <w:pPr>
              <w:widowControl/>
              <w:jc w:val="center"/>
              <w:textAlignment w:val="center"/>
              <w:rPr>
                <w:rFonts w:hint="eastAsia" w:ascii="宋体" w:hAnsi="宋体"/>
                <w:szCs w:val="21"/>
              </w:rPr>
            </w:pPr>
            <w:r>
              <w:rPr>
                <w:rFonts w:hint="eastAsia" w:ascii="仿宋" w:hAnsi="仿宋" w:eastAsia="仿宋"/>
                <w:sz w:val="22"/>
                <w:szCs w:val="22"/>
              </w:rPr>
              <w:t>4600</w:t>
            </w:r>
          </w:p>
        </w:tc>
      </w:tr>
      <w:tr w14:paraId="6F5F6E15">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11">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12">
            <w:pPr>
              <w:jc w:val="center"/>
              <w:rPr>
                <w:rFonts w:hint="eastAsia" w:ascii="宋体" w:hAnsi="宋体" w:cs="宋体"/>
                <w:szCs w:val="21"/>
              </w:rPr>
            </w:pPr>
            <w:r>
              <w:rPr>
                <w:rFonts w:hint="eastAsia" w:ascii="仿宋" w:hAnsi="仿宋" w:eastAsia="仿宋"/>
              </w:rPr>
              <w:t>现代物流管理</w:t>
            </w:r>
          </w:p>
        </w:tc>
        <w:tc>
          <w:tcPr>
            <w:tcW w:w="1063" w:type="dxa"/>
            <w:tcBorders>
              <w:top w:val="single" w:color="auto" w:sz="4" w:space="0"/>
              <w:left w:val="nil"/>
              <w:bottom w:val="single" w:color="auto" w:sz="4" w:space="0"/>
              <w:right w:val="single" w:color="auto" w:sz="4" w:space="0"/>
            </w:tcBorders>
            <w:noWrap/>
            <w:vAlign w:val="center"/>
          </w:tcPr>
          <w:p w14:paraId="6F5F6E14">
            <w:pPr>
              <w:widowControl/>
              <w:jc w:val="center"/>
              <w:textAlignment w:val="center"/>
              <w:rPr>
                <w:rFonts w:hint="eastAsia" w:ascii="宋体" w:hAnsi="宋体"/>
                <w:szCs w:val="21"/>
              </w:rPr>
            </w:pPr>
            <w:r>
              <w:rPr>
                <w:rFonts w:hint="eastAsia" w:ascii="仿宋" w:hAnsi="仿宋" w:eastAsia="仿宋"/>
                <w:sz w:val="22"/>
                <w:szCs w:val="22"/>
              </w:rPr>
              <w:t>3850</w:t>
            </w:r>
          </w:p>
        </w:tc>
      </w:tr>
      <w:tr w14:paraId="6F5F6E1A">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16">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17">
            <w:pPr>
              <w:jc w:val="center"/>
              <w:rPr>
                <w:rFonts w:hint="eastAsia" w:ascii="宋体" w:hAnsi="宋体" w:cs="宋体"/>
                <w:szCs w:val="21"/>
              </w:rPr>
            </w:pPr>
            <w:r>
              <w:rPr>
                <w:rFonts w:hint="eastAsia" w:ascii="仿宋" w:hAnsi="仿宋" w:eastAsia="仿宋"/>
              </w:rPr>
              <w:t>跨境电子商务</w:t>
            </w:r>
          </w:p>
        </w:tc>
        <w:tc>
          <w:tcPr>
            <w:tcW w:w="1063" w:type="dxa"/>
            <w:tcBorders>
              <w:top w:val="single" w:color="auto" w:sz="4" w:space="0"/>
              <w:left w:val="nil"/>
              <w:bottom w:val="single" w:color="auto" w:sz="4" w:space="0"/>
              <w:right w:val="single" w:color="auto" w:sz="4" w:space="0"/>
            </w:tcBorders>
            <w:noWrap/>
            <w:vAlign w:val="center"/>
          </w:tcPr>
          <w:p w14:paraId="6F5F6E19">
            <w:pPr>
              <w:widowControl/>
              <w:jc w:val="center"/>
              <w:textAlignment w:val="center"/>
              <w:rPr>
                <w:rFonts w:hint="eastAsia" w:ascii="宋体" w:hAnsi="宋体"/>
                <w:szCs w:val="21"/>
              </w:rPr>
            </w:pPr>
            <w:r>
              <w:rPr>
                <w:rFonts w:hint="eastAsia" w:ascii="仿宋" w:hAnsi="仿宋" w:eastAsia="仿宋"/>
                <w:sz w:val="22"/>
                <w:szCs w:val="22"/>
              </w:rPr>
              <w:t>3850</w:t>
            </w:r>
          </w:p>
        </w:tc>
      </w:tr>
      <w:tr w14:paraId="6F5F6E1F">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1B">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1C">
            <w:pPr>
              <w:jc w:val="center"/>
              <w:rPr>
                <w:rFonts w:hint="eastAsia" w:ascii="宋体" w:hAnsi="宋体" w:cs="宋体"/>
                <w:szCs w:val="21"/>
              </w:rPr>
            </w:pPr>
            <w:r>
              <w:rPr>
                <w:rFonts w:hint="eastAsia" w:ascii="仿宋" w:hAnsi="仿宋" w:eastAsia="仿宋"/>
              </w:rPr>
              <w:t>空中乘务</w:t>
            </w:r>
          </w:p>
        </w:tc>
        <w:tc>
          <w:tcPr>
            <w:tcW w:w="1063" w:type="dxa"/>
            <w:tcBorders>
              <w:top w:val="single" w:color="auto" w:sz="4" w:space="0"/>
              <w:left w:val="nil"/>
              <w:bottom w:val="single" w:color="auto" w:sz="4" w:space="0"/>
              <w:right w:val="single" w:color="auto" w:sz="4" w:space="0"/>
            </w:tcBorders>
            <w:noWrap/>
            <w:vAlign w:val="center"/>
          </w:tcPr>
          <w:p w14:paraId="6F5F6E1E">
            <w:pPr>
              <w:widowControl/>
              <w:jc w:val="center"/>
              <w:textAlignment w:val="center"/>
              <w:rPr>
                <w:rFonts w:hint="eastAsia" w:ascii="宋体" w:hAnsi="宋体"/>
                <w:szCs w:val="21"/>
              </w:rPr>
            </w:pPr>
            <w:r>
              <w:rPr>
                <w:rFonts w:hint="eastAsia" w:ascii="仿宋" w:hAnsi="仿宋" w:eastAsia="仿宋"/>
                <w:sz w:val="22"/>
                <w:szCs w:val="22"/>
              </w:rPr>
              <w:t>8000</w:t>
            </w:r>
          </w:p>
        </w:tc>
      </w:tr>
      <w:tr w14:paraId="6F5F6E24">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20">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21">
            <w:pPr>
              <w:jc w:val="center"/>
              <w:rPr>
                <w:rFonts w:hint="eastAsia" w:ascii="宋体" w:hAnsi="宋体" w:cs="宋体"/>
                <w:szCs w:val="21"/>
              </w:rPr>
            </w:pPr>
            <w:r>
              <w:rPr>
                <w:rFonts w:hint="eastAsia" w:ascii="仿宋" w:hAnsi="仿宋" w:eastAsia="仿宋"/>
              </w:rPr>
              <w:t>软件技术</w:t>
            </w:r>
          </w:p>
        </w:tc>
        <w:tc>
          <w:tcPr>
            <w:tcW w:w="1063" w:type="dxa"/>
            <w:tcBorders>
              <w:top w:val="single" w:color="auto" w:sz="4" w:space="0"/>
              <w:left w:val="nil"/>
              <w:bottom w:val="single" w:color="auto" w:sz="4" w:space="0"/>
              <w:right w:val="single" w:color="auto" w:sz="4" w:space="0"/>
            </w:tcBorders>
            <w:noWrap/>
            <w:vAlign w:val="center"/>
          </w:tcPr>
          <w:p w14:paraId="6F5F6E23">
            <w:pPr>
              <w:widowControl/>
              <w:jc w:val="center"/>
              <w:textAlignment w:val="center"/>
              <w:rPr>
                <w:rFonts w:hint="eastAsia" w:ascii="宋体" w:hAnsi="宋体"/>
                <w:szCs w:val="21"/>
              </w:rPr>
            </w:pPr>
            <w:r>
              <w:rPr>
                <w:rFonts w:hint="eastAsia" w:ascii="仿宋" w:hAnsi="仿宋" w:eastAsia="仿宋"/>
                <w:sz w:val="22"/>
                <w:szCs w:val="22"/>
              </w:rPr>
              <w:t>7800</w:t>
            </w:r>
          </w:p>
        </w:tc>
      </w:tr>
      <w:tr w14:paraId="6F5F6E29">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25">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26">
            <w:pPr>
              <w:jc w:val="center"/>
              <w:rPr>
                <w:rFonts w:hint="eastAsia" w:ascii="宋体" w:hAnsi="宋体" w:cs="宋体"/>
                <w:szCs w:val="21"/>
              </w:rPr>
            </w:pPr>
            <w:r>
              <w:rPr>
                <w:rFonts w:hint="eastAsia" w:ascii="仿宋" w:hAnsi="仿宋" w:eastAsia="仿宋"/>
              </w:rPr>
              <w:t>大数据技术</w:t>
            </w:r>
          </w:p>
        </w:tc>
        <w:tc>
          <w:tcPr>
            <w:tcW w:w="1063" w:type="dxa"/>
            <w:tcBorders>
              <w:top w:val="single" w:color="auto" w:sz="4" w:space="0"/>
              <w:left w:val="nil"/>
              <w:bottom w:val="single" w:color="auto" w:sz="4" w:space="0"/>
              <w:right w:val="single" w:color="auto" w:sz="4" w:space="0"/>
            </w:tcBorders>
            <w:noWrap/>
            <w:vAlign w:val="center"/>
          </w:tcPr>
          <w:p w14:paraId="6F5F6E28">
            <w:pPr>
              <w:widowControl/>
              <w:jc w:val="center"/>
              <w:textAlignment w:val="center"/>
              <w:rPr>
                <w:rFonts w:hint="eastAsia" w:ascii="宋体" w:hAnsi="宋体"/>
                <w:szCs w:val="21"/>
              </w:rPr>
            </w:pPr>
            <w:r>
              <w:rPr>
                <w:rFonts w:hint="eastAsia" w:ascii="仿宋" w:hAnsi="仿宋" w:eastAsia="仿宋"/>
                <w:sz w:val="22"/>
                <w:szCs w:val="22"/>
              </w:rPr>
              <w:t>5060</w:t>
            </w:r>
          </w:p>
        </w:tc>
      </w:tr>
      <w:tr w14:paraId="6F5F6E2E">
        <w:tblPrEx>
          <w:tblCellMar>
            <w:top w:w="0" w:type="dxa"/>
            <w:left w:w="108" w:type="dxa"/>
            <w:bottom w:w="0" w:type="dxa"/>
            <w:right w:w="108" w:type="dxa"/>
          </w:tblCellMar>
        </w:tblPrEx>
        <w:trPr>
          <w:trHeight w:val="425" w:hRule="exact"/>
          <w:tblHeader/>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F5F6E2A">
            <w:pPr>
              <w:jc w:val="center"/>
              <w:rPr>
                <w:rFonts w:hint="eastAsia" w:ascii="宋体" w:hAnsi="宋体" w:cs="宋体"/>
                <w:kern w:val="0"/>
                <w:szCs w:val="21"/>
              </w:rPr>
            </w:pPr>
          </w:p>
        </w:tc>
        <w:tc>
          <w:tcPr>
            <w:tcW w:w="4961" w:type="dxa"/>
            <w:tcBorders>
              <w:top w:val="single" w:color="auto" w:sz="4" w:space="0"/>
              <w:left w:val="nil"/>
              <w:bottom w:val="single" w:color="auto" w:sz="4" w:space="0"/>
              <w:right w:val="single" w:color="auto" w:sz="4" w:space="0"/>
            </w:tcBorders>
            <w:noWrap/>
            <w:vAlign w:val="center"/>
          </w:tcPr>
          <w:p w14:paraId="6F5F6E2B">
            <w:pPr>
              <w:jc w:val="center"/>
              <w:rPr>
                <w:rFonts w:hint="eastAsia" w:ascii="宋体" w:hAnsi="宋体" w:cs="宋体"/>
                <w:szCs w:val="21"/>
              </w:rPr>
            </w:pPr>
            <w:r>
              <w:rPr>
                <w:rFonts w:hint="eastAsia" w:ascii="仿宋" w:hAnsi="仿宋" w:eastAsia="仿宋"/>
              </w:rPr>
              <w:t>数字媒体技术</w:t>
            </w:r>
          </w:p>
        </w:tc>
        <w:tc>
          <w:tcPr>
            <w:tcW w:w="1063" w:type="dxa"/>
            <w:tcBorders>
              <w:top w:val="single" w:color="auto" w:sz="4" w:space="0"/>
              <w:left w:val="nil"/>
              <w:bottom w:val="single" w:color="auto" w:sz="4" w:space="0"/>
              <w:right w:val="single" w:color="auto" w:sz="4" w:space="0"/>
            </w:tcBorders>
            <w:noWrap/>
            <w:vAlign w:val="center"/>
          </w:tcPr>
          <w:p w14:paraId="6F5F6E2D">
            <w:pPr>
              <w:widowControl/>
              <w:jc w:val="center"/>
              <w:textAlignment w:val="center"/>
              <w:rPr>
                <w:rFonts w:hint="eastAsia" w:ascii="宋体" w:hAnsi="宋体"/>
                <w:szCs w:val="21"/>
              </w:rPr>
            </w:pPr>
            <w:r>
              <w:rPr>
                <w:rFonts w:hint="eastAsia" w:ascii="仿宋" w:hAnsi="仿宋" w:eastAsia="仿宋"/>
                <w:sz w:val="22"/>
                <w:szCs w:val="22"/>
              </w:rPr>
              <w:t>4600</w:t>
            </w:r>
          </w:p>
        </w:tc>
      </w:tr>
    </w:tbl>
    <w:p w14:paraId="6F5F6E33">
      <w:pPr>
        <w:widowControl/>
        <w:spacing w:line="500" w:lineRule="exact"/>
        <w:ind w:firstLine="562" w:firstLineChars="200"/>
        <w:jc w:val="left"/>
        <w:rPr>
          <w:rFonts w:hint="eastAsia" w:ascii="仿宋" w:hAnsi="仿宋" w:eastAsia="仿宋" w:cs="宋体"/>
          <w:kern w:val="0"/>
          <w:sz w:val="28"/>
        </w:rPr>
      </w:pPr>
      <w:r>
        <w:rPr>
          <w:rFonts w:hint="eastAsia" w:ascii="仿宋" w:hAnsi="仿宋" w:eastAsia="仿宋" w:cs="宋体"/>
          <w:b/>
          <w:bCs/>
          <w:kern w:val="0"/>
          <w:sz w:val="28"/>
        </w:rPr>
        <w:t>注</w:t>
      </w:r>
      <w:r>
        <w:rPr>
          <w:rFonts w:hint="eastAsia" w:ascii="仿宋" w:hAnsi="仿宋" w:eastAsia="仿宋" w:cs="宋体"/>
          <w:kern w:val="0"/>
          <w:sz w:val="28"/>
        </w:rPr>
        <w:t>：以上专业中，石油化工技术、应用化工技术、无人机应用技术、新能源汽车技术、现代物流管理、跨境电子商务等专业</w:t>
      </w:r>
      <w:bookmarkStart w:id="1" w:name="OLE_LINK1"/>
      <w:r>
        <w:rPr>
          <w:rFonts w:hint="eastAsia" w:ascii="仿宋" w:hAnsi="仿宋" w:eastAsia="仿宋" w:cs="宋体"/>
          <w:kern w:val="0"/>
          <w:sz w:val="28"/>
        </w:rPr>
        <w:t>开设了校企合作订单班、现代学徒制试点班</w:t>
      </w:r>
      <w:bookmarkEnd w:id="1"/>
      <w:r>
        <w:rPr>
          <w:rFonts w:hint="eastAsia" w:ascii="仿宋" w:hAnsi="仿宋" w:eastAsia="仿宋" w:cs="宋体"/>
          <w:kern w:val="0"/>
          <w:sz w:val="28"/>
        </w:rPr>
        <w:t>。</w:t>
      </w:r>
    </w:p>
    <w:p w14:paraId="6F5F6E34">
      <w:pPr>
        <w:widowControl/>
        <w:spacing w:line="500" w:lineRule="exact"/>
        <w:ind w:firstLine="562" w:firstLineChars="200"/>
        <w:jc w:val="left"/>
        <w:rPr>
          <w:rFonts w:hint="eastAsia" w:ascii="仿宋" w:hAnsi="仿宋" w:eastAsia="仿宋" w:cs="宋体"/>
          <w:kern w:val="0"/>
          <w:sz w:val="28"/>
        </w:rPr>
      </w:pPr>
      <w:r>
        <w:rPr>
          <w:rFonts w:hint="eastAsia" w:ascii="等线" w:hAnsi="等线" w:eastAsia="仿宋" w:cs="仿宋"/>
          <w:b/>
          <w:bCs/>
          <w:sz w:val="28"/>
          <w:szCs w:val="28"/>
        </w:rPr>
        <w:t xml:space="preserve">第十三条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14:paraId="6F5F6E35">
      <w:pPr>
        <w:widowControl/>
        <w:spacing w:line="500" w:lineRule="exact"/>
        <w:ind w:firstLine="560" w:firstLineChars="200"/>
        <w:jc w:val="left"/>
        <w:rPr>
          <w:rFonts w:hint="eastAsia" w:ascii="仿宋" w:hAnsi="仿宋" w:eastAsia="仿宋" w:cs="宋体"/>
          <w:kern w:val="0"/>
          <w:sz w:val="28"/>
        </w:rPr>
      </w:pPr>
      <w:r>
        <w:rPr>
          <w:rFonts w:hint="eastAsia" w:ascii="仿宋" w:hAnsi="仿宋" w:eastAsia="仿宋" w:cs="宋体"/>
          <w:kern w:val="0"/>
          <w:sz w:val="28"/>
        </w:rPr>
        <w:t>1.退役军人计划</w:t>
      </w:r>
      <w:r>
        <w:rPr>
          <w:rFonts w:hint="eastAsia" w:ascii="等线" w:hAnsi="等线" w:eastAsia="仿宋" w:cs="仿宋"/>
          <w:sz w:val="28"/>
          <w:szCs w:val="28"/>
        </w:rPr>
        <w:t>10人，考生</w:t>
      </w:r>
      <w:r>
        <w:rPr>
          <w:rFonts w:hint="eastAsia" w:ascii="仿宋" w:hAnsi="仿宋" w:eastAsia="仿宋" w:cs="宋体"/>
          <w:kern w:val="0"/>
          <w:sz w:val="28"/>
        </w:rPr>
        <w:t>可在上表专业范围内自行选择报考。</w:t>
      </w:r>
    </w:p>
    <w:p w14:paraId="6F5F6E36">
      <w:pPr>
        <w:widowControl/>
        <w:spacing w:line="500" w:lineRule="exact"/>
        <w:ind w:firstLine="560" w:firstLineChars="200"/>
        <w:jc w:val="left"/>
        <w:rPr>
          <w:rFonts w:hint="eastAsia" w:ascii="等线" w:hAnsi="等线" w:eastAsia="仿宋" w:cs="仿宋"/>
          <w:sz w:val="28"/>
          <w:szCs w:val="28"/>
        </w:rPr>
      </w:pPr>
      <w:r>
        <w:rPr>
          <w:rFonts w:hint="eastAsia" w:ascii="仿宋" w:hAnsi="仿宋" w:eastAsia="仿宋" w:cs="宋体"/>
          <w:kern w:val="0"/>
          <w:sz w:val="28"/>
        </w:rPr>
        <w:t>2.其他社会人员（农民工、下岗失业人员、新型职业农民和企业在岗人员）计划</w:t>
      </w:r>
      <w:r>
        <w:rPr>
          <w:rFonts w:hint="eastAsia" w:ascii="等线" w:hAnsi="等线" w:eastAsia="仿宋" w:cs="仿宋"/>
          <w:sz w:val="28"/>
          <w:szCs w:val="28"/>
        </w:rPr>
        <w:t>90人</w:t>
      </w:r>
      <w:r>
        <w:rPr>
          <w:rFonts w:hint="eastAsia" w:ascii="仿宋" w:hAnsi="仿宋" w:eastAsia="仿宋" w:cs="宋体"/>
          <w:kern w:val="0"/>
          <w:sz w:val="28"/>
        </w:rPr>
        <w:t>，可填报</w:t>
      </w:r>
      <w:r>
        <w:rPr>
          <w:rFonts w:hint="eastAsia" w:ascii="等线" w:hAnsi="等线" w:eastAsia="仿宋" w:cs="仿宋"/>
          <w:sz w:val="28"/>
          <w:szCs w:val="28"/>
        </w:rPr>
        <w:t>石油化工技术专业。</w:t>
      </w:r>
    </w:p>
    <w:p w14:paraId="6F5F6E37">
      <w:pPr>
        <w:widowControl/>
        <w:spacing w:line="500" w:lineRule="exact"/>
        <w:ind w:firstLine="560" w:firstLineChars="200"/>
        <w:jc w:val="left"/>
        <w:rPr>
          <w:rFonts w:hint="eastAsia" w:ascii="等线" w:hAnsi="等线" w:eastAsia="仿宋" w:cs="宋体"/>
          <w:kern w:val="0"/>
          <w:sz w:val="28"/>
        </w:rPr>
      </w:pPr>
      <w:r>
        <w:rPr>
          <w:rFonts w:hint="eastAsia" w:ascii="仿宋" w:hAnsi="仿宋" w:eastAsia="仿宋" w:cs="宋体"/>
          <w:kern w:val="0"/>
          <w:sz w:val="28"/>
        </w:rPr>
        <w:t>3.</w:t>
      </w:r>
      <w:r>
        <w:rPr>
          <w:rFonts w:hint="eastAsia" w:ascii="等线" w:hAnsi="等线" w:eastAsia="仿宋" w:cs="宋体"/>
          <w:kern w:val="0"/>
          <w:sz w:val="28"/>
        </w:rPr>
        <w:t>体育特长生招生计划</w:t>
      </w:r>
      <w:r>
        <w:rPr>
          <w:rFonts w:hint="eastAsia" w:ascii="等线" w:hAnsi="等线" w:eastAsia="仿宋" w:cs="仿宋"/>
          <w:sz w:val="28"/>
          <w:szCs w:val="28"/>
        </w:rPr>
        <w:t>5</w:t>
      </w:r>
      <w:r>
        <w:rPr>
          <w:rFonts w:hint="eastAsia" w:ascii="等线" w:hAnsi="等线" w:eastAsia="仿宋" w:cs="宋体"/>
          <w:kern w:val="0"/>
          <w:sz w:val="28"/>
        </w:rPr>
        <w:t>人，</w:t>
      </w:r>
      <w:r>
        <w:rPr>
          <w:rFonts w:hint="eastAsia" w:ascii="等线" w:hAnsi="等线" w:eastAsia="仿宋" w:cs="仿宋"/>
          <w:sz w:val="28"/>
          <w:szCs w:val="28"/>
        </w:rPr>
        <w:t>考生</w:t>
      </w:r>
      <w:r>
        <w:rPr>
          <w:rFonts w:hint="eastAsia" w:ascii="仿宋" w:hAnsi="仿宋" w:eastAsia="仿宋" w:cs="宋体"/>
          <w:kern w:val="0"/>
          <w:sz w:val="28"/>
        </w:rPr>
        <w:t>可在上表专业范围内自行选择报考</w:t>
      </w:r>
      <w:r>
        <w:rPr>
          <w:rFonts w:hint="eastAsia" w:ascii="等线" w:hAnsi="等线" w:eastAsia="仿宋" w:cs="宋体"/>
          <w:kern w:val="0"/>
          <w:sz w:val="28"/>
        </w:rPr>
        <w:t>。</w:t>
      </w:r>
    </w:p>
    <w:p w14:paraId="6F5F6E38">
      <w:pPr>
        <w:spacing w:line="600" w:lineRule="exact"/>
        <w:ind w:firstLine="562" w:firstLineChars="200"/>
        <w:rPr>
          <w:rFonts w:hint="eastAsia" w:ascii="仿宋" w:hAnsi="仿宋" w:eastAsia="仿宋" w:cs="仿宋"/>
          <w:sz w:val="28"/>
          <w:szCs w:val="28"/>
        </w:rPr>
      </w:pPr>
      <w:r>
        <w:rPr>
          <w:rFonts w:hint="eastAsia" w:ascii="等线" w:hAnsi="等线" w:eastAsia="仿宋" w:cs="宋体"/>
          <w:b/>
          <w:bCs/>
          <w:kern w:val="0"/>
          <w:sz w:val="28"/>
        </w:rPr>
        <w:t>第十四条</w:t>
      </w:r>
      <w:r>
        <w:rPr>
          <w:rFonts w:hint="eastAsia" w:ascii="等线" w:hAnsi="等线" w:eastAsia="仿宋" w:cs="宋体"/>
          <w:kern w:val="0"/>
          <w:sz w:val="28"/>
        </w:rPr>
        <w:t xml:space="preserve"> 学</w:t>
      </w:r>
      <w:r>
        <w:rPr>
          <w:rFonts w:hint="eastAsia" w:ascii="等线" w:hAnsi="等线" w:eastAsia="仿宋" w:cs="仿宋"/>
          <w:sz w:val="28"/>
          <w:szCs w:val="28"/>
        </w:rPr>
        <w:t>校</w:t>
      </w:r>
      <w:r>
        <w:rPr>
          <w:rFonts w:hint="eastAsia" w:ascii="等线" w:hAnsi="等线" w:eastAsia="仿宋" w:cs="宋体"/>
          <w:kern w:val="0"/>
          <w:sz w:val="28"/>
        </w:rPr>
        <w:t>在考试结束后，以实际参考人数为基数，按比例确定各专业不同类别考生的计划数。学</w:t>
      </w:r>
      <w:r>
        <w:rPr>
          <w:rFonts w:hint="eastAsia" w:ascii="等线" w:hAnsi="等线" w:eastAsia="仿宋" w:cs="仿宋"/>
          <w:sz w:val="28"/>
          <w:szCs w:val="28"/>
        </w:rPr>
        <w:t>校</w:t>
      </w:r>
      <w:r>
        <w:rPr>
          <w:rFonts w:hint="eastAsia" w:ascii="等线" w:hAnsi="等线" w:eastAsia="仿宋" w:cs="宋体"/>
          <w:kern w:val="0"/>
          <w:sz w:val="28"/>
        </w:rPr>
        <w:t>各专业各类别计划确定并公布后，一律不调整和追加。单招未完成的计划转为统招计划使用。</w:t>
      </w:r>
    </w:p>
    <w:p w14:paraId="6F5F6E39">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单招考试</w:t>
      </w:r>
    </w:p>
    <w:p w14:paraId="6F5F6E3A">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第十五条 </w:t>
      </w:r>
      <w:r>
        <w:rPr>
          <w:rFonts w:hint="eastAsia" w:ascii="等线" w:hAnsi="等线" w:eastAsia="仿宋" w:cs="仿宋"/>
          <w:sz w:val="28"/>
          <w:szCs w:val="28"/>
        </w:rPr>
        <w:t>学校将本着公平、公正、择优录取的原则，按照国家教育考试相关规定，在省教育厅、省教育考试院的指导和监督下组织单招考试的相关工作。</w:t>
      </w:r>
    </w:p>
    <w:p w14:paraId="6F5F6E3B">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第十六条 </w:t>
      </w:r>
      <w:r>
        <w:rPr>
          <w:rFonts w:hint="eastAsia" w:ascii="等线" w:hAnsi="等线" w:eastAsia="仿宋" w:cs="仿宋"/>
          <w:sz w:val="28"/>
          <w:szCs w:val="28"/>
        </w:rPr>
        <w:t>参加学校今年单招的考生分为应届普通高中毕业考生（具有2024年普通高中学业水平合格性考试有效成绩）、中职考生和往届普通高中考生及同等学力考生（含普通高中学业水平合格性考试有效成绩不全的应届普通高中考生）、退役军人、其他社会人员、体育特长生5个大类。</w:t>
      </w:r>
    </w:p>
    <w:p w14:paraId="6F5F6E3C">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第十七条 </w:t>
      </w:r>
      <w:r>
        <w:rPr>
          <w:rFonts w:hint="eastAsia" w:ascii="等线" w:hAnsi="等线" w:eastAsia="仿宋" w:cs="仿宋"/>
          <w:sz w:val="28"/>
          <w:szCs w:val="28"/>
        </w:rPr>
        <w:t>按照“文化素质+职业技能”方式，分类组织考试。根据考生的类别，考试按以下方式进行。</w:t>
      </w:r>
    </w:p>
    <w:p w14:paraId="6F5F6E3D">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第一类：应届普通高中毕业考生。文化素质测试成绩以学生取得的高中学业水平合格性考试语文、数学、外语等科目有效成绩代替。职业技能测试由学校组织，按照人才培养需要，采取笔试方式进行，重点考察学生的职业适应性。</w:t>
      </w:r>
    </w:p>
    <w:p w14:paraId="6F5F6E3E">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按照人才培养需要，采取笔试方式进行，重点考察学生的职业技能。</w:t>
      </w:r>
    </w:p>
    <w:p w14:paraId="6F5F6E3F">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3.第三、第四类：退役军人及其他社会人员。退役军人、农民工等社会人员考生免予文化素质测试，参加学校组织的职业技能测试。</w:t>
      </w:r>
    </w:p>
    <w:p w14:paraId="6F5F6E40">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4.第五类：体育特长生。文化素质测试根据学生类别不同，分别采取上述第一类或第二类的方式进行。职业技能测试成绩用</w:t>
      </w:r>
      <w:bookmarkStart w:id="2" w:name="_Hlk186557065"/>
      <w:r>
        <w:rPr>
          <w:rFonts w:hint="eastAsia" w:ascii="等线" w:hAnsi="等线" w:eastAsia="仿宋" w:cs="仿宋"/>
          <w:sz w:val="28"/>
          <w:szCs w:val="28"/>
        </w:rPr>
        <w:t>体育专项测试</w:t>
      </w:r>
      <w:bookmarkEnd w:id="2"/>
      <w:r>
        <w:rPr>
          <w:rFonts w:hint="eastAsia" w:ascii="等线" w:hAnsi="等线" w:eastAsia="仿宋" w:cs="仿宋"/>
          <w:sz w:val="28"/>
          <w:szCs w:val="28"/>
        </w:rPr>
        <w:t>成绩代替，专项测试按照《湖南石油化工职业技术学院2025年体育特长生高职单招方案》执行。</w:t>
      </w:r>
    </w:p>
    <w:p w14:paraId="6F5F6E41">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五类社会人员和体育特长生须经学校审核认定后方可填报对应体育特长生或五类社会人员类别的志愿。不能提供有关证明材料、认定不符合体育特长生或五类社会人员要求的考生只能以应届普通高中毕业考生身份或中职考生和往届普通高中考生及同等学力考生身份在志愿填报期间填报对应类别志愿专业。志愿类别填报错误的考生不予排考，由此造成的后果，由考生本人承担。</w:t>
      </w:r>
    </w:p>
    <w:p w14:paraId="6F5F6E42">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第十八条 </w:t>
      </w:r>
      <w:r>
        <w:rPr>
          <w:rFonts w:hint="eastAsia" w:ascii="等线" w:hAnsi="等线" w:eastAsia="仿宋" w:cs="仿宋"/>
          <w:sz w:val="28"/>
          <w:szCs w:val="28"/>
        </w:rPr>
        <w:t>考生的综合成绩为文化素质成绩+职业技能成绩。上述第一类、第二类、第五类考生的高职单招综合成绩（总成绩）满分为600分，第三、第四类考生的综合成绩满分为300分。其中，对于报考我校普通类专业，文化素质成绩与职业技能成绩占比为1:1，即分别各占300分；体育特长生以及报考空中乘务专业的考生，文化素质成绩与职业技能成绩占比也为1:1，即分别各占300分，其中报考空中乘务专业的考生需要提前参加我校组织的合格性面试（面试时间另行公布），面试合格考生按时参加我校统一组织的单招考试，根据考试成绩按学校单独招生章程录取。面试不合格考生不能录取我校空中乘务专业，但可继续报考我校其他专业。</w:t>
      </w:r>
    </w:p>
    <w:p w14:paraId="6F5F6E43">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第十九条</w:t>
      </w:r>
      <w:r>
        <w:rPr>
          <w:rFonts w:hint="eastAsia" w:ascii="等线" w:hAnsi="等线" w:eastAsia="仿宋" w:cs="仿宋"/>
          <w:sz w:val="28"/>
          <w:szCs w:val="28"/>
        </w:rPr>
        <w:t xml:space="preserve"> 我校针对第二类考生组织的文化素质测试与职业技能测试为闭卷笔试方式。</w:t>
      </w:r>
    </w:p>
    <w:p w14:paraId="6F5F6E44">
      <w:pPr>
        <w:spacing w:line="500" w:lineRule="exact"/>
        <w:ind w:firstLine="562" w:firstLineChars="200"/>
        <w:rPr>
          <w:rFonts w:hint="eastAsia" w:ascii="方正小标宋简体" w:hAnsi="方正小标宋简体" w:eastAsia="方正小标宋简体" w:cs="方正小标宋简体"/>
          <w:sz w:val="28"/>
          <w:szCs w:val="28"/>
        </w:rPr>
      </w:pPr>
      <w:r>
        <w:rPr>
          <w:rFonts w:hint="eastAsia" w:ascii="等线" w:hAnsi="等线" w:eastAsia="仿宋" w:cs="仿宋"/>
          <w:b/>
          <w:bCs/>
          <w:sz w:val="28"/>
          <w:szCs w:val="28"/>
        </w:rPr>
        <w:t xml:space="preserve">第二十条 </w:t>
      </w:r>
      <w:r>
        <w:rPr>
          <w:rFonts w:hint="eastAsia" w:ascii="等线" w:hAnsi="等线" w:eastAsia="仿宋" w:cs="仿宋"/>
          <w:sz w:val="28"/>
          <w:szCs w:val="28"/>
        </w:rPr>
        <w:t>我校文化素质测试、职业技能测试的有关说明、考试范围等，将在我校官网、微信公众号进行公布。</w:t>
      </w:r>
    </w:p>
    <w:p w14:paraId="6F5F6E45">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第二十一条 </w:t>
      </w:r>
      <w:r>
        <w:rPr>
          <w:rFonts w:hint="eastAsia" w:ascii="等线" w:hAnsi="等线" w:eastAsia="仿宋" w:cs="仿宋"/>
          <w:sz w:val="28"/>
          <w:szCs w:val="28"/>
        </w:rPr>
        <w:t>符合以下免试条件的考生在单招考试前向学校申请。其中，职业技能特长申请免技能测试的考生，须在2025年2月18日8:00至2月22日8:00期间，本人携带相关申请材料（</w:t>
      </w:r>
      <w:r>
        <w:rPr>
          <w:rFonts w:ascii="等线" w:hAnsi="等线" w:eastAsia="仿宋" w:cs="仿宋"/>
          <w:sz w:val="28"/>
          <w:szCs w:val="28"/>
        </w:rPr>
        <w:t>获奖证书原件与复印件）</w:t>
      </w:r>
      <w:r>
        <w:rPr>
          <w:rFonts w:hint="eastAsia" w:ascii="等线" w:hAnsi="等线" w:eastAsia="仿宋" w:cs="仿宋"/>
          <w:sz w:val="28"/>
          <w:szCs w:val="28"/>
        </w:rPr>
        <w:t>交由我校招生就业处审核。免试直接录取的考生不占用单招计划数，使用我校统招计划，在统招录取前完成录取手续办理，有关审核程序和方法由省教育考试院另行规定。</w:t>
      </w:r>
    </w:p>
    <w:p w14:paraId="6F5F6E46">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6F5F6E47">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F5F6E48">
      <w:pPr>
        <w:spacing w:line="500" w:lineRule="exact"/>
        <w:ind w:firstLine="560" w:firstLineChars="200"/>
        <w:rPr>
          <w:rFonts w:hint="eastAsia" w:ascii="方正小标宋简体" w:hAnsi="方正小标宋简体" w:eastAsia="方正小标宋简体" w:cs="方正小标宋简体"/>
          <w:sz w:val="28"/>
          <w:szCs w:val="28"/>
        </w:rPr>
      </w:pPr>
      <w:r>
        <w:rPr>
          <w:rFonts w:hint="eastAsia" w:ascii="等线" w:hAnsi="等线" w:eastAsia="仿宋" w:cs="仿宋"/>
          <w:sz w:val="28"/>
          <w:szCs w:val="28"/>
        </w:rPr>
        <w:t>3.免试考生的录取专业与其获奖赛项对应（考生如需跨专业报考，则不能享受免试政策）。</w:t>
      </w:r>
    </w:p>
    <w:p w14:paraId="6F5F6E49">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第二十二条</w:t>
      </w:r>
      <w:r>
        <w:rPr>
          <w:rFonts w:hint="eastAsia" w:ascii="等线" w:hAnsi="等线" w:eastAsia="仿宋" w:cs="仿宋"/>
          <w:sz w:val="28"/>
          <w:szCs w:val="28"/>
        </w:rPr>
        <w:t xml:space="preserve"> 学校按一志愿、二志愿分别组织单招考试。第一志愿考试时间为2025年3月8日。若第一志愿生源不足，未完成单招计划，我校将组织第二志愿考试，参考对象为第二志愿报考我校且未被第一志愿学校录取考生，时间为2025年4月5日。各科目的具体考试时间及地点将在我校官网上另行公布。</w:t>
      </w:r>
    </w:p>
    <w:p w14:paraId="6F5F6E4A">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 xml:space="preserve">第二十三条 </w:t>
      </w:r>
      <w:r>
        <w:rPr>
          <w:rFonts w:hint="eastAsia" w:ascii="等线" w:hAnsi="等线" w:eastAsia="仿宋" w:cs="仿宋"/>
          <w:sz w:val="28"/>
          <w:szCs w:val="28"/>
        </w:rPr>
        <w:t>根据物价部门统一规定，高职单招的报考费为80元/生。报考我校第</w:t>
      </w:r>
      <w:r>
        <w:rPr>
          <w:rFonts w:hint="eastAsia" w:ascii="仿宋" w:hAnsi="仿宋" w:eastAsia="仿宋" w:cs="仿宋"/>
          <w:sz w:val="28"/>
          <w:szCs w:val="28"/>
        </w:rPr>
        <w:t>一志愿的考生费缴纳时间为</w:t>
      </w:r>
      <w:r>
        <w:rPr>
          <w:rFonts w:ascii="等线" w:hAnsi="等线" w:eastAsia="仿宋" w:cs="仿宋"/>
          <w:sz w:val="28"/>
          <w:szCs w:val="28"/>
        </w:rPr>
        <w:t>2025</w:t>
      </w:r>
      <w:r>
        <w:rPr>
          <w:rFonts w:hint="eastAsia" w:ascii="等线" w:hAnsi="等线" w:eastAsia="仿宋" w:cs="仿宋"/>
          <w:sz w:val="28"/>
          <w:szCs w:val="28"/>
        </w:rPr>
        <w:t>年3月2日至3月3日，</w:t>
      </w:r>
      <w:r>
        <w:rPr>
          <w:rFonts w:hint="eastAsia" w:ascii="仿宋" w:hAnsi="仿宋" w:eastAsia="仿宋" w:cs="仿宋"/>
          <w:sz w:val="28"/>
          <w:szCs w:val="28"/>
        </w:rPr>
        <w:t>缴纳方式为通过关注“湖南石化职院财务处”微信公众号自助线上缴纳。未在规定时间内缴费的，不得参加我校单招考试及录取。缴费成功的考生于2025年</w:t>
      </w:r>
      <w:r>
        <w:rPr>
          <w:rFonts w:ascii="等线" w:hAnsi="等线" w:eastAsia="仿宋" w:cs="仿宋"/>
          <w:sz w:val="28"/>
          <w:szCs w:val="28"/>
        </w:rPr>
        <w:t>3</w:t>
      </w:r>
      <w:r>
        <w:rPr>
          <w:rFonts w:hint="eastAsia" w:ascii="等线" w:hAnsi="等线" w:eastAsia="仿宋" w:cs="仿宋"/>
          <w:sz w:val="28"/>
          <w:szCs w:val="28"/>
        </w:rPr>
        <w:t>月6日</w:t>
      </w:r>
      <w:r>
        <w:rPr>
          <w:rFonts w:ascii="等线" w:hAnsi="等线" w:eastAsia="仿宋" w:cs="仿宋"/>
          <w:sz w:val="28"/>
          <w:szCs w:val="28"/>
        </w:rPr>
        <w:t>至</w:t>
      </w:r>
      <w:r>
        <w:rPr>
          <w:rFonts w:hint="eastAsia" w:ascii="等线" w:hAnsi="等线" w:eastAsia="仿宋" w:cs="仿宋"/>
          <w:sz w:val="28"/>
          <w:szCs w:val="28"/>
        </w:rPr>
        <w:t>7日</w:t>
      </w:r>
      <w:r>
        <w:rPr>
          <w:rFonts w:hint="eastAsia" w:ascii="仿宋" w:hAnsi="仿宋" w:eastAsia="仿宋" w:cs="仿宋"/>
          <w:sz w:val="28"/>
          <w:szCs w:val="28"/>
        </w:rPr>
        <w:t>登录“湖南石油化工职业技术学院”微信公众号自行打印准考证。第二志愿考生缴费及准考证打印时间学校另行公布。</w:t>
      </w:r>
      <w:r>
        <w:rPr>
          <w:rFonts w:hint="eastAsia" w:ascii="等线" w:hAnsi="等线" w:eastAsia="仿宋" w:cs="仿宋"/>
          <w:sz w:val="28"/>
          <w:szCs w:val="28"/>
        </w:rPr>
        <w:t>缴费咨询电话：</w:t>
      </w:r>
      <w:r>
        <w:rPr>
          <w:rFonts w:ascii="等线" w:hAnsi="等线" w:eastAsia="仿宋" w:cs="仿宋"/>
          <w:sz w:val="28"/>
          <w:szCs w:val="28"/>
        </w:rPr>
        <w:t>15575069647</w:t>
      </w:r>
      <w:r>
        <w:rPr>
          <w:rFonts w:hint="eastAsia" w:ascii="等线" w:hAnsi="等线" w:eastAsia="仿宋" w:cs="仿宋"/>
          <w:sz w:val="28"/>
          <w:szCs w:val="28"/>
        </w:rPr>
        <w:t>（廖老师），打印准考证咨询电话：</w:t>
      </w:r>
      <w:r>
        <w:rPr>
          <w:rFonts w:ascii="等线" w:hAnsi="等线" w:eastAsia="仿宋" w:cs="仿宋"/>
          <w:sz w:val="28"/>
          <w:szCs w:val="28"/>
        </w:rPr>
        <w:t>0730-3066601</w:t>
      </w:r>
      <w:r>
        <w:rPr>
          <w:rFonts w:hint="eastAsia" w:ascii="等线" w:hAnsi="等线" w:eastAsia="仿宋" w:cs="仿宋"/>
          <w:sz w:val="28"/>
          <w:szCs w:val="28"/>
        </w:rPr>
        <w:t>。</w:t>
      </w: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流程详见学校招生信息网，网址</w:t>
      </w:r>
      <w:r>
        <w:rPr>
          <w:rFonts w:ascii="仿宋" w:hAnsi="仿宋" w:eastAsia="仿宋" w:cs="仿宋"/>
          <w:sz w:val="28"/>
          <w:szCs w:val="28"/>
        </w:rPr>
        <w:t>http://www.hnshzy.cn/zsxx/</w:t>
      </w:r>
      <w:r>
        <w:rPr>
          <w:rFonts w:hint="eastAsia" w:ascii="等线" w:hAnsi="等线" w:eastAsia="仿宋" w:cs="仿宋"/>
          <w:sz w:val="28"/>
          <w:szCs w:val="28"/>
        </w:rPr>
        <w:t>。</w:t>
      </w:r>
    </w:p>
    <w:p w14:paraId="6F5F6E4B">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第二十四条</w:t>
      </w:r>
      <w:r>
        <w:rPr>
          <w:rFonts w:hint="eastAsia" w:ascii="等线" w:hAnsi="等线" w:eastAsia="仿宋" w:cs="仿宋"/>
          <w:sz w:val="28"/>
          <w:szCs w:val="28"/>
        </w:rPr>
        <w:t xml:space="preserve"> 我校单招考试在省教育考试院的指导下，参照国家教育考试规定进行组织。</w:t>
      </w:r>
      <w:r>
        <w:rPr>
          <w:rFonts w:hint="eastAsia" w:ascii="仿宋" w:hAnsi="仿宋" w:eastAsia="仿宋" w:cs="仿宋"/>
          <w:sz w:val="28"/>
          <w:szCs w:val="28"/>
        </w:rPr>
        <w:t>在学校招生工作领导小组的统筹下，招生就业处、教务处、学生工作部、后勤管理处、图书与信息资源中心、各二级学院等部门共同组织考务工作，纪检监察处负责单招考试的全程监督。具体由招生就业处牵头组织命题，并负责其保密工作；招生就业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6F5F6E4C">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单招录取</w:t>
      </w:r>
    </w:p>
    <w:p w14:paraId="6F5F6E4D">
      <w:pPr>
        <w:widowControl/>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第二十五条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应届普通高中毕业考生</w:t>
      </w:r>
      <w:r>
        <w:rPr>
          <w:rFonts w:ascii="等线" w:hAnsi="等线" w:eastAsia="仿宋" w:cs="仿宋"/>
          <w:sz w:val="28"/>
          <w:szCs w:val="28"/>
        </w:rPr>
        <w:t>必须按照</w:t>
      </w:r>
      <w:r>
        <w:rPr>
          <w:rFonts w:hint="eastAsia" w:ascii="等线" w:hAnsi="等线" w:eastAsia="仿宋" w:cs="仿宋"/>
          <w:sz w:val="28"/>
          <w:szCs w:val="28"/>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素质测试及</w:t>
      </w:r>
      <w:r>
        <w:rPr>
          <w:rFonts w:ascii="等线" w:hAnsi="等线" w:eastAsia="仿宋" w:cs="仿宋"/>
          <w:sz w:val="28"/>
          <w:szCs w:val="28"/>
        </w:rPr>
        <w:t>录取。</w:t>
      </w:r>
    </w:p>
    <w:p w14:paraId="6F5F6E4E">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第二十六条</w:t>
      </w:r>
      <w:r>
        <w:rPr>
          <w:rFonts w:hint="eastAsia" w:ascii="等线" w:hAnsi="等线" w:eastAsia="仿宋" w:cs="仿宋"/>
          <w:sz w:val="28"/>
          <w:szCs w:val="28"/>
        </w:rPr>
        <w:t xml:space="preserve"> 单招录取首先对报考单列计划的考生（第三类、第四类、第五类考生）进行录取，单列计划只录取第一志愿报考的考生，如有剩余单列计划则转为普通类计划录取第一类、第二类考生。</w:t>
      </w:r>
    </w:p>
    <w:p w14:paraId="6F5F6E4F">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人，根据同比例公式计算可得第一类、第二类考生的计划数为71、24人。第一类考生计划数计算公式：95/（150+50）</w:t>
      </w:r>
      <w:r>
        <w:rPr>
          <w:rFonts w:hint="eastAsia" w:ascii="汉仪细圆B5" w:hAnsi="汉仪细圆B5" w:eastAsia="汉仪细圆B5" w:cs="汉仪细圆B5"/>
          <w:sz w:val="28"/>
          <w:szCs w:val="28"/>
        </w:rPr>
        <w:t>×150</w:t>
      </w:r>
      <w:r>
        <w:rPr>
          <w:rFonts w:hint="eastAsia" w:ascii="等线" w:hAnsi="等线" w:eastAsia="仿宋" w:cs="仿宋"/>
          <w:sz w:val="28"/>
          <w:szCs w:val="28"/>
        </w:rPr>
        <w:t>。各类别各专业计划确定后，录取过程中不再调整和追加。</w:t>
      </w:r>
    </w:p>
    <w:p w14:paraId="6F5F6E50">
      <w:pPr>
        <w:widowControl/>
        <w:shd w:val="clear" w:color="auto" w:fill="FFFFFF"/>
        <w:spacing w:line="48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第二十八条</w:t>
      </w:r>
      <w:r>
        <w:rPr>
          <w:rFonts w:hint="eastAsia" w:ascii="等线" w:hAnsi="等线" w:eastAsia="仿宋" w:cs="仿宋"/>
          <w:sz w:val="28"/>
          <w:szCs w:val="28"/>
        </w:rPr>
        <w:t xml:space="preserve"> 单招录取工作按照“学校负责、招办监督”的原则进行。除体育特长生类别外，其他类别考生按照志愿优先、专业优先的方式进行。</w:t>
      </w:r>
      <w:r>
        <w:rPr>
          <w:rFonts w:hint="eastAsia" w:ascii="仿宋" w:hAnsi="仿宋" w:eastAsia="仿宋" w:cs="仿宋"/>
          <w:sz w:val="28"/>
          <w:szCs w:val="28"/>
        </w:rPr>
        <w:t>各类别按照以下顺序进行。</w:t>
      </w:r>
    </w:p>
    <w:p w14:paraId="6F5F6E51">
      <w:pPr>
        <w:widowControl/>
        <w:shd w:val="clear" w:color="auto" w:fill="FFFFFF"/>
        <w:spacing w:line="500" w:lineRule="exact"/>
        <w:ind w:firstLine="560" w:firstLineChars="200"/>
        <w:jc w:val="left"/>
        <w:rPr>
          <w:rFonts w:hint="eastAsia" w:ascii="方正小标宋简体" w:hAnsi="方正小标宋简体" w:eastAsia="方正小标宋简体" w:cs="方正小标宋简体"/>
          <w:sz w:val="28"/>
          <w:szCs w:val="28"/>
        </w:rPr>
      </w:pPr>
      <w:r>
        <w:rPr>
          <w:rFonts w:hint="eastAsia" w:ascii="等线" w:hAnsi="等线" w:eastAsia="仿宋" w:cs="仿宋"/>
          <w:sz w:val="28"/>
          <w:szCs w:val="28"/>
        </w:rPr>
        <w:t>1.退役军人考生：根据考生志愿专业填报情况，按职业技能测试综合成绩从高分到低分进行录取，录完为止。</w:t>
      </w:r>
    </w:p>
    <w:p w14:paraId="6F5F6E52">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2.其他社会人员（农民工、下岗失业人员、新型职业农民和企业在岗人员）：根据考生志愿专业填报情况，按职业技能测试综合成绩从高分到低分进行录取，录完为止。</w:t>
      </w:r>
    </w:p>
    <w:p w14:paraId="6F5F6E53">
      <w:pPr>
        <w:widowControl/>
        <w:shd w:val="clear" w:color="auto" w:fill="FFFFFF"/>
        <w:spacing w:line="500" w:lineRule="exact"/>
        <w:ind w:firstLine="552"/>
        <w:jc w:val="left"/>
        <w:rPr>
          <w:rFonts w:hint="eastAsia" w:ascii="等线" w:hAnsi="等线" w:eastAsia="仿宋" w:cs="仿宋"/>
          <w:sz w:val="28"/>
          <w:szCs w:val="28"/>
        </w:rPr>
      </w:pPr>
      <w:r>
        <w:rPr>
          <w:rFonts w:hint="eastAsia" w:ascii="等线" w:hAnsi="等线" w:eastAsia="仿宋" w:cs="仿宋"/>
          <w:sz w:val="28"/>
          <w:szCs w:val="28"/>
        </w:rPr>
        <w:t>3.</w:t>
      </w:r>
      <w:r>
        <w:rPr>
          <w:rFonts w:ascii="等线" w:hAnsi="等线" w:eastAsia="仿宋" w:cs="仿宋"/>
          <w:sz w:val="28"/>
          <w:szCs w:val="28"/>
        </w:rPr>
        <w:t>体育特长生可选择我校高职单招任意一个招生专业，我校将</w:t>
      </w:r>
      <w:r>
        <w:rPr>
          <w:rFonts w:hint="eastAsia" w:ascii="等线" w:hAnsi="等线" w:eastAsia="仿宋" w:cs="仿宋"/>
          <w:sz w:val="28"/>
          <w:szCs w:val="28"/>
        </w:rPr>
        <w:t>根据考生所填报项目</w:t>
      </w:r>
      <w:r>
        <w:rPr>
          <w:rFonts w:ascii="等线" w:hAnsi="等线" w:eastAsia="仿宋" w:cs="仿宋"/>
          <w:sz w:val="28"/>
          <w:szCs w:val="28"/>
        </w:rPr>
        <w:t>按照分数优先、遵循志愿的原则进行录取</w:t>
      </w:r>
      <w:r>
        <w:rPr>
          <w:rFonts w:hint="eastAsia" w:ascii="等线" w:hAnsi="等线" w:eastAsia="仿宋" w:cs="仿宋"/>
          <w:sz w:val="28"/>
          <w:szCs w:val="28"/>
        </w:rPr>
        <w:t>，具体规则详见《湖南石油化工职业技术学院2025年体育特长生高职单招方案》</w:t>
      </w:r>
      <w:r>
        <w:rPr>
          <w:rFonts w:ascii="等线" w:hAnsi="等线" w:eastAsia="仿宋" w:cs="仿宋"/>
          <w:sz w:val="28"/>
          <w:szCs w:val="28"/>
        </w:rPr>
        <w:t>。</w:t>
      </w:r>
    </w:p>
    <w:p w14:paraId="6F5F6E54">
      <w:pPr>
        <w:widowControl/>
        <w:shd w:val="clear" w:color="auto" w:fill="FFFFFF"/>
        <w:spacing w:line="500" w:lineRule="exact"/>
        <w:ind w:firstLine="552"/>
        <w:jc w:val="left"/>
        <w:rPr>
          <w:rFonts w:hint="eastAsia" w:ascii="等线" w:hAnsi="等线" w:eastAsia="仿宋" w:cs="仿宋"/>
          <w:sz w:val="28"/>
          <w:szCs w:val="28"/>
        </w:rPr>
      </w:pPr>
      <w:r>
        <w:rPr>
          <w:rFonts w:hint="eastAsia" w:ascii="等线" w:hAnsi="等线" w:eastAsia="仿宋" w:cs="仿宋"/>
          <w:sz w:val="28"/>
          <w:szCs w:val="28"/>
        </w:rPr>
        <w:t>4.普通类考生。根据各专业分类别招生计划数，依据考生所填报专业按综合成绩从高分到低分进行录取，录满为止。如遇生源不足，则对未录取且服从调剂的考生按综合成绩从高分到低分进行调剂录取。</w:t>
      </w:r>
    </w:p>
    <w:p w14:paraId="6F5F6E55">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第二十九条</w:t>
      </w:r>
      <w:r>
        <w:rPr>
          <w:rFonts w:hint="eastAsia" w:ascii="等线" w:hAnsi="等线" w:eastAsia="仿宋" w:cs="仿宋"/>
          <w:sz w:val="28"/>
          <w:szCs w:val="28"/>
        </w:rPr>
        <w:t xml:space="preserve"> 对于末位同分的考生，依据以下排序原则进行录取。同分排序规则为：</w:t>
      </w:r>
    </w:p>
    <w:p w14:paraId="6F5F6E56">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第一类，应届普通高中毕业考生（具有2024年普通高中学业水平合格性考试有效成绩）按学考语文、数学、外语的成绩之和、职业技能测试成绩由高分到低分排序，如相同，再依次按学考语文、数学、外语成绩由高分到低分排序；</w:t>
      </w:r>
      <w:r>
        <w:rPr>
          <w:rFonts w:hint="eastAsia" w:ascii="仿宋" w:hAnsi="仿宋" w:eastAsia="仿宋" w:cs="仿宋"/>
          <w:sz w:val="28"/>
          <w:szCs w:val="28"/>
        </w:rPr>
        <w:t>如所有成绩全部相同，则组织末位同分考生重新考试。</w:t>
      </w:r>
    </w:p>
    <w:p w14:paraId="6F5F6E57">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第二类，中职考生和往届普通高中考生及同等学力考生（含普通高中学业水平合格性考试有效成绩不全的应届普通高中考生）按文化素质测试成绩、职业技能测试成绩由高分到低分排序，如相同，再</w:t>
      </w:r>
      <w:bookmarkStart w:id="3" w:name="_Hlk157201687"/>
      <w:r>
        <w:rPr>
          <w:rFonts w:hint="eastAsia" w:ascii="等线" w:hAnsi="等线" w:eastAsia="仿宋" w:cs="仿宋"/>
          <w:sz w:val="28"/>
          <w:szCs w:val="28"/>
        </w:rPr>
        <w:t>依次按文化素质测试语文、数学、外语科目成绩由高分到低分排序；如所有成绩全部相同，则组织末位同分考生重新考试。</w:t>
      </w:r>
    </w:p>
    <w:bookmarkEnd w:id="3"/>
    <w:p w14:paraId="6F5F6E58">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第三、第四类，退役军人及其他社会人员，组织末位同分考生重新考试。</w:t>
      </w:r>
    </w:p>
    <w:p w14:paraId="6F5F6E59">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第五类，体育特长生，按体育专项测试成绩，语文、数学、外语的成绩之和由高分到低分排序，如相同，再依次按语文、数学、外语成绩由高分到低分排序；如所有成绩全部相同，则组织末位同分考生重新考试。</w:t>
      </w:r>
    </w:p>
    <w:p w14:paraId="6F5F6E5A">
      <w:pPr>
        <w:widowControl/>
        <w:shd w:val="clear" w:color="auto" w:fill="FFFFFF"/>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第三十条 </w:t>
      </w:r>
      <w:r>
        <w:rPr>
          <w:rFonts w:hint="eastAsia" w:ascii="仿宋" w:hAnsi="仿宋" w:eastAsia="仿宋" w:cs="仿宋"/>
          <w:sz w:val="28"/>
          <w:szCs w:val="28"/>
        </w:rPr>
        <w:t>为保障生源质量，学校按照“公平竞争、公正选拔、公开透明”的原则，严格按照志愿优先、专业优先原则，分类别从高分到低分择优录取，不跨类别调节计划录取。</w:t>
      </w:r>
    </w:p>
    <w:p w14:paraId="6F5F6E5B">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第三十一条 </w:t>
      </w:r>
      <w:r>
        <w:rPr>
          <w:rFonts w:hint="eastAsia" w:ascii="等线" w:hAnsi="等线" w:eastAsia="仿宋" w:cs="仿宋"/>
          <w:sz w:val="28"/>
          <w:szCs w:val="28"/>
        </w:rPr>
        <w:t>我校将通过官网（</w:t>
      </w:r>
      <w:r>
        <w:rPr>
          <w:rFonts w:ascii="仿宋" w:hAnsi="仿宋" w:eastAsia="仿宋" w:cs="仿宋"/>
          <w:sz w:val="28"/>
          <w:szCs w:val="28"/>
        </w:rPr>
        <w:t>http://www.hnshzy.cn/zsxx/</w:t>
      </w:r>
      <w:r>
        <w:rPr>
          <w:rFonts w:hint="eastAsia" w:ascii="等线" w:hAnsi="等线" w:eastAsia="仿宋" w:cs="仿宋"/>
          <w:sz w:val="28"/>
          <w:szCs w:val="28"/>
        </w:rPr>
        <w:t>）发布单招拟录取名单，拟录取考生需在我校规定时间内办理相关录取确认手续。</w:t>
      </w:r>
    </w:p>
    <w:p w14:paraId="6F5F6E5C">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第三十二条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单招录取的学生不得参加本年度统一高考和普通高校对口招生考试。单招录取的学生不得转学，特殊情况需转专业的，按照我校相关规定，在本校当年单招专业范围内转换。</w:t>
      </w:r>
    </w:p>
    <w:p w14:paraId="6F5F6E5D">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第三十三条</w:t>
      </w:r>
      <w:r>
        <w:rPr>
          <w:rFonts w:hint="eastAsia" w:ascii="等线" w:hAnsi="等线" w:eastAsia="仿宋" w:cs="仿宋"/>
          <w:sz w:val="28"/>
          <w:szCs w:val="28"/>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6F5F6E5E">
      <w:pPr>
        <w:widowControl/>
        <w:shd w:val="clear" w:color="auto" w:fill="FFFFFF"/>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第三十四条 </w:t>
      </w:r>
      <w:r>
        <w:rPr>
          <w:rFonts w:hint="eastAsia" w:ascii="等线" w:hAnsi="等线" w:eastAsia="仿宋" w:cs="仿宋"/>
          <w:sz w:val="28"/>
          <w:szCs w:val="28"/>
        </w:rPr>
        <w:t>单招第一志愿录取结束后，如有剩余专业计划，我校将向社会公布有缺额的专业及计划数，并组织第二志愿报考我校且未被第一志愿录取的考生举行考试。第二志愿考试要求及录取规则等与第一志愿的相关规定一致。</w:t>
      </w:r>
    </w:p>
    <w:p w14:paraId="6F5F6E5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监督管理</w:t>
      </w:r>
    </w:p>
    <w:p w14:paraId="6F5F6E60">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第三十五条 </w:t>
      </w:r>
      <w:r>
        <w:rPr>
          <w:rFonts w:hint="eastAsia" w:ascii="等线" w:hAnsi="等线" w:eastAsia="仿宋" w:cs="仿宋"/>
          <w:sz w:val="28"/>
          <w:szCs w:val="28"/>
        </w:rPr>
        <w:t>单招考试及录取结束后，学校按照要求及时将考试结果及拟录取考生情况在学校官网公示。</w:t>
      </w:r>
    </w:p>
    <w:p w14:paraId="6F5F6E61">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第三十六条 </w:t>
      </w:r>
      <w:r>
        <w:rPr>
          <w:rFonts w:hint="eastAsia" w:ascii="等线" w:hAnsi="等线" w:eastAsia="仿宋" w:cs="仿宋"/>
          <w:sz w:val="28"/>
          <w:szCs w:val="28"/>
        </w:rPr>
        <w:t>单招期间，确保规范有序、公平公正，在学校纪委（纪检监察处）全程监督检查下进行单招考试、录取等工作。</w:t>
      </w:r>
    </w:p>
    <w:p w14:paraId="6F5F6E62">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第三十七条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6F5F6E63">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第三十八条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r>
        <w:rPr>
          <w:rFonts w:ascii="等线" w:hAnsi="等线" w:eastAsia="仿宋" w:cs="仿宋"/>
          <w:sz w:val="28"/>
          <w:szCs w:val="28"/>
        </w:rPr>
        <w:t>0730-3066013</w:t>
      </w:r>
      <w:r>
        <w:rPr>
          <w:rFonts w:hint="eastAsia" w:ascii="等线" w:hAnsi="等线" w:eastAsia="仿宋" w:cs="仿宋"/>
          <w:sz w:val="28"/>
          <w:szCs w:val="28"/>
        </w:rPr>
        <w:t>。</w:t>
      </w:r>
    </w:p>
    <w:p w14:paraId="6F5F6E64">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附则</w:t>
      </w:r>
    </w:p>
    <w:p w14:paraId="6F5F6E65">
      <w:pPr>
        <w:pStyle w:val="2"/>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第三十九条</w:t>
      </w:r>
      <w:r>
        <w:rPr>
          <w:rFonts w:hint="eastAsia" w:ascii="等线" w:hAnsi="等线" w:eastAsia="仿宋" w:cs="仿宋"/>
          <w:sz w:val="28"/>
          <w:szCs w:val="28"/>
        </w:rPr>
        <w:t xml:space="preserve"> 学校对新生入学设有“绿色通道”。家庭经济特别困难的新生，可持乡（镇）以上人民政府证明向学校学生工作部申请办理学费缓交手续，并可根据国家有关规定申请国家助学贷款。</w:t>
      </w:r>
    </w:p>
    <w:p w14:paraId="6F5F6E66">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第四十条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6F5F6E67">
      <w:pPr>
        <w:shd w:val="clear" w:color="auto" w:fill="FFFFFF"/>
        <w:spacing w:line="500" w:lineRule="exact"/>
        <w:ind w:firstLine="562" w:firstLineChars="200"/>
        <w:rPr>
          <w:rFonts w:hint="eastAsia" w:ascii="等线" w:hAnsi="等线" w:eastAsia="仿宋" w:cs="仿宋"/>
          <w:b/>
          <w:bCs/>
          <w:sz w:val="32"/>
          <w:szCs w:val="32"/>
        </w:rPr>
      </w:pPr>
      <w:r>
        <w:rPr>
          <w:rFonts w:hint="eastAsia" w:ascii="等线" w:hAnsi="等线" w:eastAsia="仿宋" w:cs="仿宋"/>
          <w:b/>
          <w:bCs/>
          <w:sz w:val="28"/>
          <w:szCs w:val="28"/>
        </w:rPr>
        <w:t xml:space="preserve">第四十一条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6F5F6E68">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第四十二条</w:t>
      </w:r>
      <w:r>
        <w:rPr>
          <w:rFonts w:hint="eastAsia" w:ascii="等线" w:hAnsi="等线" w:eastAsia="仿宋" w:cs="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F5F6E69">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第四十三条</w:t>
      </w:r>
      <w:r>
        <w:rPr>
          <w:rFonts w:hint="eastAsia" w:ascii="等线" w:hAnsi="等线" w:eastAsia="仿宋" w:cs="仿宋"/>
          <w:sz w:val="28"/>
          <w:szCs w:val="28"/>
        </w:rPr>
        <w:t xml:space="preserve"> 本章程通过湖南省教育考试院和学校官网向社会发布，对于各种媒体节选公布的章程内容，如理解有误，以学校公布的完整单独招生章程为准。</w:t>
      </w:r>
    </w:p>
    <w:p w14:paraId="6F5F6E6A">
      <w:pPr>
        <w:pStyle w:val="2"/>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第四十四条 </w:t>
      </w:r>
      <w:r>
        <w:rPr>
          <w:rFonts w:hint="eastAsia" w:ascii="等线" w:hAnsi="等线" w:eastAsia="仿宋" w:cs="仿宋"/>
          <w:sz w:val="28"/>
          <w:szCs w:val="28"/>
        </w:rPr>
        <w:t>学校招生联系方式</w:t>
      </w:r>
    </w:p>
    <w:p w14:paraId="6F5F6E6B">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通信地址：湖南省岳阳市湘北大道新开镇 </w:t>
      </w:r>
    </w:p>
    <w:p w14:paraId="6F5F6E6C">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邮政编码：</w:t>
      </w:r>
      <w:r>
        <w:rPr>
          <w:rFonts w:ascii="等线" w:hAnsi="等线" w:eastAsia="仿宋" w:cs="仿宋"/>
          <w:sz w:val="28"/>
          <w:szCs w:val="28"/>
        </w:rPr>
        <w:t xml:space="preserve">414118 </w:t>
      </w:r>
      <w:r>
        <w:rPr>
          <w:rFonts w:hint="eastAsia" w:ascii="等线" w:hAnsi="等线" w:eastAsia="仿宋" w:cs="仿宋"/>
          <w:sz w:val="28"/>
          <w:szCs w:val="28"/>
        </w:rPr>
        <w:t xml:space="preserve"> </w:t>
      </w:r>
    </w:p>
    <w:p w14:paraId="6F5F6E6D">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招生咨询电话：</w:t>
      </w:r>
      <w:r>
        <w:rPr>
          <w:rFonts w:ascii="等线" w:hAnsi="等线" w:eastAsia="仿宋" w:cs="仿宋"/>
          <w:sz w:val="28"/>
          <w:szCs w:val="28"/>
        </w:rPr>
        <w:t>0730-3066601</w:t>
      </w:r>
      <w:r>
        <w:rPr>
          <w:rFonts w:hint="eastAsia" w:ascii="等线" w:hAnsi="等线" w:eastAsia="仿宋" w:cs="仿宋"/>
          <w:sz w:val="28"/>
          <w:szCs w:val="28"/>
        </w:rPr>
        <w:t>、0</w:t>
      </w:r>
      <w:r>
        <w:rPr>
          <w:rFonts w:ascii="等线" w:hAnsi="等线" w:eastAsia="仿宋" w:cs="仿宋"/>
          <w:sz w:val="28"/>
          <w:szCs w:val="28"/>
        </w:rPr>
        <w:t>730-3066602</w:t>
      </w:r>
    </w:p>
    <w:p w14:paraId="6F5F6E6E">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招生咨询邮箱：</w:t>
      </w:r>
      <w:r>
        <w:rPr>
          <w:rFonts w:ascii="等线" w:hAnsi="等线" w:eastAsia="仿宋" w:cs="仿宋"/>
          <w:sz w:val="28"/>
          <w:szCs w:val="28"/>
        </w:rPr>
        <w:t>guo109956</w:t>
      </w:r>
      <w:r>
        <w:rPr>
          <w:rFonts w:hint="eastAsia" w:ascii="等线" w:hAnsi="等线" w:eastAsia="仿宋" w:cs="仿宋"/>
          <w:sz w:val="28"/>
          <w:szCs w:val="28"/>
        </w:rPr>
        <w:t>@qq</w:t>
      </w:r>
      <w:r>
        <w:rPr>
          <w:rFonts w:ascii="等线" w:hAnsi="等线" w:eastAsia="仿宋" w:cs="仿宋"/>
          <w:sz w:val="28"/>
          <w:szCs w:val="28"/>
        </w:rPr>
        <w:t>.com</w:t>
      </w:r>
    </w:p>
    <w:p w14:paraId="6F5F6E6F">
      <w:pPr>
        <w:pStyle w:val="2"/>
        <w:ind w:firstLine="560" w:firstLineChars="200"/>
        <w:rPr>
          <w:rFonts w:hint="eastAsia" w:ascii="等线" w:hAnsi="等线" w:eastAsia="仿宋" w:cs="仿宋"/>
          <w:sz w:val="28"/>
          <w:szCs w:val="28"/>
        </w:rPr>
      </w:pPr>
      <w:r>
        <w:rPr>
          <w:rFonts w:hint="eastAsia" w:ascii="等线" w:hAnsi="等线" w:eastAsia="仿宋" w:cs="仿宋"/>
          <w:sz w:val="28"/>
          <w:szCs w:val="28"/>
        </w:rPr>
        <w:t>招生信息发布网址：</w:t>
      </w:r>
      <w:r>
        <w:rPr>
          <w:rFonts w:ascii="等线" w:hAnsi="等线" w:eastAsia="仿宋" w:cs="仿宋"/>
          <w:sz w:val="28"/>
          <w:szCs w:val="28"/>
        </w:rPr>
        <w:t>https://www.hnshzy.cn/zsxx/</w:t>
      </w:r>
    </w:p>
    <w:p w14:paraId="6F5F6E70">
      <w:pPr>
        <w:pStyle w:val="9"/>
        <w:shd w:val="clear" w:color="auto" w:fill="FFFFFF"/>
        <w:spacing w:before="0" w:beforeAutospacing="0" w:after="0" w:afterAutospacing="0" w:line="500" w:lineRule="exact"/>
        <w:ind w:firstLine="560" w:firstLineChars="200"/>
        <w:rPr>
          <w:rFonts w:hint="eastAsia" w:ascii="等线" w:hAnsi="等线" w:eastAsia="仿宋" w:cs="仿宋"/>
          <w:kern w:val="2"/>
          <w:sz w:val="28"/>
          <w:szCs w:val="28"/>
        </w:rPr>
      </w:pPr>
      <w:r>
        <w:rPr>
          <w:rFonts w:hint="eastAsia" w:ascii="等线" w:hAnsi="等线" w:eastAsia="仿宋" w:cs="仿宋"/>
          <w:kern w:val="2"/>
          <w:sz w:val="28"/>
          <w:szCs w:val="28"/>
        </w:rPr>
        <w:t>监督投诉电话：</w:t>
      </w:r>
      <w:r>
        <w:rPr>
          <w:rFonts w:ascii="等线" w:hAnsi="等线" w:eastAsia="仿宋" w:cs="仿宋"/>
          <w:sz w:val="28"/>
          <w:szCs w:val="28"/>
        </w:rPr>
        <w:t>0730-3066013</w:t>
      </w:r>
    </w:p>
    <w:p w14:paraId="6F5F6E71">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第四十五条 </w:t>
      </w:r>
      <w:r>
        <w:rPr>
          <w:rFonts w:hint="eastAsia" w:ascii="等线" w:hAnsi="等线" w:eastAsia="仿宋" w:cs="仿宋"/>
          <w:sz w:val="28"/>
          <w:szCs w:val="28"/>
        </w:rPr>
        <w:t>本章程适用于我校2025年湖南省单招。其解释权属于湖南石油化工职业技术学院。</w:t>
      </w:r>
      <w:r>
        <w:rPr>
          <w:rFonts w:hint="eastAsia" w:ascii="等线" w:hAnsi="等线" w:eastAsia="仿宋" w:cs="仿宋"/>
          <w:sz w:val="28"/>
          <w:szCs w:val="28"/>
          <w:shd w:val="clear" w:color="auto" w:fill="FFFFFF"/>
        </w:rPr>
        <w:t>如遇教育部、湖南省教育厅相关招生政策调整，以公布的最新政策为准。</w:t>
      </w:r>
    </w:p>
    <w:bookmarkEnd w:id="0"/>
    <w:p w14:paraId="6F5F6E72">
      <w:pPr>
        <w:numPr>
          <w:ilvl w:val="255"/>
          <w:numId w:val="0"/>
        </w:numPr>
        <w:shd w:val="clear" w:color="auto" w:fill="FFFFFF"/>
        <w:spacing w:line="500" w:lineRule="exact"/>
        <w:ind w:firstLine="560" w:firstLineChars="200"/>
        <w:rPr>
          <w:rFonts w:hint="eastAsia" w:ascii="等线" w:hAnsi="等线" w:eastAsia="仿宋" w:cs="仿宋"/>
          <w:sz w:val="28"/>
          <w:szCs w:val="28"/>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DA72873A-6E21-4453-87A4-9FB10BD093C8}"/>
  </w:font>
  <w:font w:name="华文中宋">
    <w:panose1 w:val="02010600040101010101"/>
    <w:charset w:val="86"/>
    <w:family w:val="auto"/>
    <w:pitch w:val="default"/>
    <w:sig w:usb0="00000287" w:usb1="080F0000" w:usb2="00000000" w:usb3="00000000" w:csb0="0004009F" w:csb1="DFD70000"/>
    <w:embedRegular r:id="rId2" w:fontKey="{742C2978-7A04-4EA8-A361-602230BB29B0}"/>
  </w:font>
  <w:font w:name="仿宋">
    <w:panose1 w:val="02010609060101010101"/>
    <w:charset w:val="86"/>
    <w:family w:val="modern"/>
    <w:pitch w:val="default"/>
    <w:sig w:usb0="800002BF" w:usb1="38CF7CFA" w:usb2="00000016" w:usb3="00000000" w:csb0="00040001" w:csb1="00000000"/>
    <w:embedRegular r:id="rId3" w:fontKey="{7572B838-C630-4131-961F-74AC996AF82A}"/>
  </w:font>
  <w:font w:name="方正小标宋简体">
    <w:altName w:val="黑体"/>
    <w:panose1 w:val="03000509000000000000"/>
    <w:charset w:val="86"/>
    <w:family w:val="script"/>
    <w:pitch w:val="default"/>
    <w:sig w:usb0="00000000" w:usb1="00000000" w:usb2="00000010" w:usb3="00000000" w:csb0="00040000" w:csb1="00000000"/>
    <w:embedRegular r:id="rId4" w:fontKey="{58C6B71B-FAE0-4140-AFE7-C2AFA792E2C4}"/>
  </w:font>
  <w:font w:name="汉仪细圆B5">
    <w:altName w:val="Times New Roman"/>
    <w:panose1 w:val="00000000000000000000"/>
    <w:charset w:val="00"/>
    <w:family w:val="auto"/>
    <w:pitch w:val="default"/>
    <w:sig w:usb0="00000000" w:usb1="00000000" w:usb2="00000000" w:usb3="00000000" w:csb0="00000000" w:csb1="00000000"/>
    <w:embedRegular r:id="rId5" w:fontKey="{79DAF0C3-B846-43FF-A980-9B79B4414A3A}"/>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F6E74">
    <w:pPr>
      <w:pStyle w:val="7"/>
      <w:jc w:val="center"/>
    </w:pPr>
    <w:r>
      <w:fldChar w:fldCharType="begin"/>
    </w:r>
    <w:r>
      <w:instrText xml:space="preserve">PAGE   \* MERGEFORMAT</w:instrText>
    </w:r>
    <w:r>
      <w:fldChar w:fldCharType="separate"/>
    </w:r>
    <w:r>
      <w:t>14</w:t>
    </w:r>
    <w:r>
      <w:fldChar w:fldCharType="end"/>
    </w:r>
  </w:p>
  <w:p w14:paraId="6F5F6E75">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F6E73">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2NzI5ODhiNWJlYTg5ODg0MTliODNlN2Y4YmZlMGQifQ=="/>
  </w:docVars>
  <w:rsids>
    <w:rsidRoot w:val="00054A07"/>
    <w:rsid w:val="000130A7"/>
    <w:rsid w:val="00022031"/>
    <w:rsid w:val="000278C3"/>
    <w:rsid w:val="00037508"/>
    <w:rsid w:val="00040831"/>
    <w:rsid w:val="000421E8"/>
    <w:rsid w:val="0004697F"/>
    <w:rsid w:val="00047200"/>
    <w:rsid w:val="000474FF"/>
    <w:rsid w:val="0005198F"/>
    <w:rsid w:val="00051CCC"/>
    <w:rsid w:val="00051FF7"/>
    <w:rsid w:val="00053909"/>
    <w:rsid w:val="00054A07"/>
    <w:rsid w:val="00056697"/>
    <w:rsid w:val="00061B30"/>
    <w:rsid w:val="0006384B"/>
    <w:rsid w:val="000702EF"/>
    <w:rsid w:val="00071A9C"/>
    <w:rsid w:val="000755A7"/>
    <w:rsid w:val="000861D5"/>
    <w:rsid w:val="00086312"/>
    <w:rsid w:val="000917EF"/>
    <w:rsid w:val="000924F1"/>
    <w:rsid w:val="0009594F"/>
    <w:rsid w:val="000A10C3"/>
    <w:rsid w:val="000A23C9"/>
    <w:rsid w:val="000B059A"/>
    <w:rsid w:val="000B71EA"/>
    <w:rsid w:val="000B7D0E"/>
    <w:rsid w:val="000C17D8"/>
    <w:rsid w:val="000C2961"/>
    <w:rsid w:val="000D548C"/>
    <w:rsid w:val="000D6CA2"/>
    <w:rsid w:val="000E1C21"/>
    <w:rsid w:val="000E57AF"/>
    <w:rsid w:val="000E7D20"/>
    <w:rsid w:val="000F197B"/>
    <w:rsid w:val="00102754"/>
    <w:rsid w:val="001068B1"/>
    <w:rsid w:val="0011024D"/>
    <w:rsid w:val="00111490"/>
    <w:rsid w:val="00114C60"/>
    <w:rsid w:val="00116C90"/>
    <w:rsid w:val="00117B92"/>
    <w:rsid w:val="00121F95"/>
    <w:rsid w:val="00135DBF"/>
    <w:rsid w:val="00142C97"/>
    <w:rsid w:val="00144114"/>
    <w:rsid w:val="0015641C"/>
    <w:rsid w:val="00165805"/>
    <w:rsid w:val="00173708"/>
    <w:rsid w:val="001747A9"/>
    <w:rsid w:val="001777A6"/>
    <w:rsid w:val="001864EF"/>
    <w:rsid w:val="00187ACF"/>
    <w:rsid w:val="00192EF1"/>
    <w:rsid w:val="001948F5"/>
    <w:rsid w:val="0019741D"/>
    <w:rsid w:val="001A1D23"/>
    <w:rsid w:val="001A31F5"/>
    <w:rsid w:val="001A4A92"/>
    <w:rsid w:val="001C15F1"/>
    <w:rsid w:val="001C5E53"/>
    <w:rsid w:val="001D274B"/>
    <w:rsid w:val="001D7D09"/>
    <w:rsid w:val="001E1249"/>
    <w:rsid w:val="001E3DB7"/>
    <w:rsid w:val="001E4FFC"/>
    <w:rsid w:val="001F01C6"/>
    <w:rsid w:val="001F3C75"/>
    <w:rsid w:val="001F7B8C"/>
    <w:rsid w:val="00203AEF"/>
    <w:rsid w:val="00205BFB"/>
    <w:rsid w:val="00206CAB"/>
    <w:rsid w:val="002078F5"/>
    <w:rsid w:val="0021434B"/>
    <w:rsid w:val="00215533"/>
    <w:rsid w:val="00222848"/>
    <w:rsid w:val="002254D9"/>
    <w:rsid w:val="00234926"/>
    <w:rsid w:val="00237573"/>
    <w:rsid w:val="00237694"/>
    <w:rsid w:val="0024457C"/>
    <w:rsid w:val="00246E78"/>
    <w:rsid w:val="0025235B"/>
    <w:rsid w:val="0025254F"/>
    <w:rsid w:val="002547D9"/>
    <w:rsid w:val="0025608D"/>
    <w:rsid w:val="002616ED"/>
    <w:rsid w:val="00263279"/>
    <w:rsid w:val="00280E90"/>
    <w:rsid w:val="00281D85"/>
    <w:rsid w:val="0028375B"/>
    <w:rsid w:val="00283C77"/>
    <w:rsid w:val="0028589C"/>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3DF"/>
    <w:rsid w:val="002E6A8B"/>
    <w:rsid w:val="002F15DF"/>
    <w:rsid w:val="002F6E75"/>
    <w:rsid w:val="00300868"/>
    <w:rsid w:val="00301365"/>
    <w:rsid w:val="0030597A"/>
    <w:rsid w:val="00310867"/>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714CD"/>
    <w:rsid w:val="00373B5A"/>
    <w:rsid w:val="00385177"/>
    <w:rsid w:val="00385889"/>
    <w:rsid w:val="00386A99"/>
    <w:rsid w:val="00394B58"/>
    <w:rsid w:val="003B3333"/>
    <w:rsid w:val="003C20A1"/>
    <w:rsid w:val="003C7CD4"/>
    <w:rsid w:val="003D6018"/>
    <w:rsid w:val="003E1268"/>
    <w:rsid w:val="003E2026"/>
    <w:rsid w:val="003E34C3"/>
    <w:rsid w:val="003E3C62"/>
    <w:rsid w:val="003F026A"/>
    <w:rsid w:val="003F0EE2"/>
    <w:rsid w:val="004014EA"/>
    <w:rsid w:val="00402BC8"/>
    <w:rsid w:val="0040496C"/>
    <w:rsid w:val="0040616E"/>
    <w:rsid w:val="00414BD9"/>
    <w:rsid w:val="0041659D"/>
    <w:rsid w:val="00421155"/>
    <w:rsid w:val="00422A80"/>
    <w:rsid w:val="0042326E"/>
    <w:rsid w:val="00423E52"/>
    <w:rsid w:val="00424F42"/>
    <w:rsid w:val="0043606A"/>
    <w:rsid w:val="00436D6E"/>
    <w:rsid w:val="0043733D"/>
    <w:rsid w:val="00440627"/>
    <w:rsid w:val="0044104A"/>
    <w:rsid w:val="00444072"/>
    <w:rsid w:val="00444B4E"/>
    <w:rsid w:val="00445311"/>
    <w:rsid w:val="0044784B"/>
    <w:rsid w:val="00451C06"/>
    <w:rsid w:val="0045282C"/>
    <w:rsid w:val="004635FA"/>
    <w:rsid w:val="00463BB2"/>
    <w:rsid w:val="00466943"/>
    <w:rsid w:val="0046746D"/>
    <w:rsid w:val="004718EE"/>
    <w:rsid w:val="004731DB"/>
    <w:rsid w:val="00473B98"/>
    <w:rsid w:val="0047761D"/>
    <w:rsid w:val="00480C9D"/>
    <w:rsid w:val="00484EA8"/>
    <w:rsid w:val="00491625"/>
    <w:rsid w:val="00493788"/>
    <w:rsid w:val="004947EC"/>
    <w:rsid w:val="004A5259"/>
    <w:rsid w:val="004B246B"/>
    <w:rsid w:val="004C21B7"/>
    <w:rsid w:val="004C233F"/>
    <w:rsid w:val="004C3B09"/>
    <w:rsid w:val="004D3D69"/>
    <w:rsid w:val="004D4E4B"/>
    <w:rsid w:val="004D599F"/>
    <w:rsid w:val="004D6194"/>
    <w:rsid w:val="004E0C54"/>
    <w:rsid w:val="004E2B8D"/>
    <w:rsid w:val="004F106A"/>
    <w:rsid w:val="004F10CE"/>
    <w:rsid w:val="004F4631"/>
    <w:rsid w:val="004F4C5B"/>
    <w:rsid w:val="004F5CC1"/>
    <w:rsid w:val="004F6185"/>
    <w:rsid w:val="004F7A8C"/>
    <w:rsid w:val="005047A5"/>
    <w:rsid w:val="0050517A"/>
    <w:rsid w:val="00505DE9"/>
    <w:rsid w:val="00506637"/>
    <w:rsid w:val="0051056E"/>
    <w:rsid w:val="005136C5"/>
    <w:rsid w:val="00517A34"/>
    <w:rsid w:val="00526A07"/>
    <w:rsid w:val="00540B5B"/>
    <w:rsid w:val="00542E96"/>
    <w:rsid w:val="00545F2D"/>
    <w:rsid w:val="00550F5C"/>
    <w:rsid w:val="00554366"/>
    <w:rsid w:val="00556CB9"/>
    <w:rsid w:val="005623AF"/>
    <w:rsid w:val="00566FA6"/>
    <w:rsid w:val="005672A7"/>
    <w:rsid w:val="005674AB"/>
    <w:rsid w:val="00571FD2"/>
    <w:rsid w:val="005755FC"/>
    <w:rsid w:val="005813FA"/>
    <w:rsid w:val="005874E3"/>
    <w:rsid w:val="005901A5"/>
    <w:rsid w:val="00593F9A"/>
    <w:rsid w:val="00596FAB"/>
    <w:rsid w:val="005A11F7"/>
    <w:rsid w:val="005A39B9"/>
    <w:rsid w:val="005A4D28"/>
    <w:rsid w:val="005A6BB8"/>
    <w:rsid w:val="005C088A"/>
    <w:rsid w:val="005C0B42"/>
    <w:rsid w:val="005C278B"/>
    <w:rsid w:val="005C2FA0"/>
    <w:rsid w:val="005C4245"/>
    <w:rsid w:val="005C52E1"/>
    <w:rsid w:val="005C61F1"/>
    <w:rsid w:val="005D4B01"/>
    <w:rsid w:val="005D633C"/>
    <w:rsid w:val="005D7A14"/>
    <w:rsid w:val="005E220A"/>
    <w:rsid w:val="005E2C6A"/>
    <w:rsid w:val="005F04ED"/>
    <w:rsid w:val="005F293D"/>
    <w:rsid w:val="006050A7"/>
    <w:rsid w:val="0061777F"/>
    <w:rsid w:val="00622126"/>
    <w:rsid w:val="00625D13"/>
    <w:rsid w:val="006262FA"/>
    <w:rsid w:val="00633FB6"/>
    <w:rsid w:val="00642C5E"/>
    <w:rsid w:val="006444E7"/>
    <w:rsid w:val="006538A2"/>
    <w:rsid w:val="00654BA4"/>
    <w:rsid w:val="006552C1"/>
    <w:rsid w:val="00662952"/>
    <w:rsid w:val="00665A80"/>
    <w:rsid w:val="0066610C"/>
    <w:rsid w:val="0067114B"/>
    <w:rsid w:val="00674235"/>
    <w:rsid w:val="00674BC3"/>
    <w:rsid w:val="00676C6B"/>
    <w:rsid w:val="00680F8F"/>
    <w:rsid w:val="00680FCA"/>
    <w:rsid w:val="006827A2"/>
    <w:rsid w:val="0068619E"/>
    <w:rsid w:val="00686F6D"/>
    <w:rsid w:val="00687E4D"/>
    <w:rsid w:val="0069057F"/>
    <w:rsid w:val="006908FD"/>
    <w:rsid w:val="00691A72"/>
    <w:rsid w:val="0069281D"/>
    <w:rsid w:val="00693A91"/>
    <w:rsid w:val="0069497F"/>
    <w:rsid w:val="00697A30"/>
    <w:rsid w:val="006A0C18"/>
    <w:rsid w:val="006A33F4"/>
    <w:rsid w:val="006A4725"/>
    <w:rsid w:val="006A4AAE"/>
    <w:rsid w:val="006B1060"/>
    <w:rsid w:val="006B2ED2"/>
    <w:rsid w:val="006B5AA0"/>
    <w:rsid w:val="006B5B90"/>
    <w:rsid w:val="006B7884"/>
    <w:rsid w:val="006C1AAF"/>
    <w:rsid w:val="006C2502"/>
    <w:rsid w:val="006C61B4"/>
    <w:rsid w:val="006C6C9D"/>
    <w:rsid w:val="006D075D"/>
    <w:rsid w:val="006E25E0"/>
    <w:rsid w:val="006E3B04"/>
    <w:rsid w:val="006E459C"/>
    <w:rsid w:val="006E4A9E"/>
    <w:rsid w:val="006E6B29"/>
    <w:rsid w:val="006E7594"/>
    <w:rsid w:val="006F0041"/>
    <w:rsid w:val="006F034E"/>
    <w:rsid w:val="006F1FE6"/>
    <w:rsid w:val="006F2544"/>
    <w:rsid w:val="006F6CBC"/>
    <w:rsid w:val="00703C0D"/>
    <w:rsid w:val="007104D8"/>
    <w:rsid w:val="0071787E"/>
    <w:rsid w:val="00720E6D"/>
    <w:rsid w:val="00721206"/>
    <w:rsid w:val="00723794"/>
    <w:rsid w:val="0072707E"/>
    <w:rsid w:val="007323F4"/>
    <w:rsid w:val="00734663"/>
    <w:rsid w:val="00741D3E"/>
    <w:rsid w:val="00751F8B"/>
    <w:rsid w:val="0076137E"/>
    <w:rsid w:val="00762229"/>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A5816"/>
    <w:rsid w:val="007B30EA"/>
    <w:rsid w:val="007B37A6"/>
    <w:rsid w:val="007C07A2"/>
    <w:rsid w:val="007C0EBD"/>
    <w:rsid w:val="007C17F6"/>
    <w:rsid w:val="007C2D8A"/>
    <w:rsid w:val="007C696A"/>
    <w:rsid w:val="007E06EB"/>
    <w:rsid w:val="007E08DC"/>
    <w:rsid w:val="007E2D30"/>
    <w:rsid w:val="007F0B20"/>
    <w:rsid w:val="007F15BD"/>
    <w:rsid w:val="007F203F"/>
    <w:rsid w:val="007F4445"/>
    <w:rsid w:val="007F4A39"/>
    <w:rsid w:val="007F7F4C"/>
    <w:rsid w:val="00802CDC"/>
    <w:rsid w:val="008045A3"/>
    <w:rsid w:val="0080603D"/>
    <w:rsid w:val="00807E2F"/>
    <w:rsid w:val="00810919"/>
    <w:rsid w:val="00810E67"/>
    <w:rsid w:val="00820714"/>
    <w:rsid w:val="00832524"/>
    <w:rsid w:val="008410F8"/>
    <w:rsid w:val="008427B2"/>
    <w:rsid w:val="00842C7D"/>
    <w:rsid w:val="008433D6"/>
    <w:rsid w:val="00850151"/>
    <w:rsid w:val="008509FF"/>
    <w:rsid w:val="008511D6"/>
    <w:rsid w:val="00860EE2"/>
    <w:rsid w:val="008622EA"/>
    <w:rsid w:val="008642CD"/>
    <w:rsid w:val="008713A1"/>
    <w:rsid w:val="0087167F"/>
    <w:rsid w:val="00874BB2"/>
    <w:rsid w:val="00874C6C"/>
    <w:rsid w:val="00880E98"/>
    <w:rsid w:val="00883BF2"/>
    <w:rsid w:val="008870FD"/>
    <w:rsid w:val="008911F1"/>
    <w:rsid w:val="008A2AF6"/>
    <w:rsid w:val="008A2BEA"/>
    <w:rsid w:val="008A7CF8"/>
    <w:rsid w:val="008B3681"/>
    <w:rsid w:val="008B4A25"/>
    <w:rsid w:val="008B5F68"/>
    <w:rsid w:val="008C2C02"/>
    <w:rsid w:val="008D7022"/>
    <w:rsid w:val="008E144E"/>
    <w:rsid w:val="008E1EE5"/>
    <w:rsid w:val="008E279E"/>
    <w:rsid w:val="008E6488"/>
    <w:rsid w:val="008F68ED"/>
    <w:rsid w:val="00900BF8"/>
    <w:rsid w:val="00903C5F"/>
    <w:rsid w:val="00906871"/>
    <w:rsid w:val="00910D26"/>
    <w:rsid w:val="00911306"/>
    <w:rsid w:val="009130EB"/>
    <w:rsid w:val="00913F7E"/>
    <w:rsid w:val="00916342"/>
    <w:rsid w:val="0092411D"/>
    <w:rsid w:val="00924BEA"/>
    <w:rsid w:val="00925F09"/>
    <w:rsid w:val="0093110E"/>
    <w:rsid w:val="009335C4"/>
    <w:rsid w:val="00936996"/>
    <w:rsid w:val="009370C9"/>
    <w:rsid w:val="0094668D"/>
    <w:rsid w:val="00946C62"/>
    <w:rsid w:val="009564F3"/>
    <w:rsid w:val="00965985"/>
    <w:rsid w:val="009673BF"/>
    <w:rsid w:val="00967EB6"/>
    <w:rsid w:val="0097117C"/>
    <w:rsid w:val="00971DA2"/>
    <w:rsid w:val="009850BE"/>
    <w:rsid w:val="00986168"/>
    <w:rsid w:val="00991464"/>
    <w:rsid w:val="009916C8"/>
    <w:rsid w:val="0099382F"/>
    <w:rsid w:val="00993AD0"/>
    <w:rsid w:val="0099595D"/>
    <w:rsid w:val="00997052"/>
    <w:rsid w:val="009A5750"/>
    <w:rsid w:val="009A7430"/>
    <w:rsid w:val="009B0F7A"/>
    <w:rsid w:val="009B2CDD"/>
    <w:rsid w:val="009B58D4"/>
    <w:rsid w:val="009C0D1A"/>
    <w:rsid w:val="009C22A6"/>
    <w:rsid w:val="009C36BB"/>
    <w:rsid w:val="009C63FF"/>
    <w:rsid w:val="009C7BD4"/>
    <w:rsid w:val="009D0C8D"/>
    <w:rsid w:val="009D36A8"/>
    <w:rsid w:val="009E0606"/>
    <w:rsid w:val="009F05E3"/>
    <w:rsid w:val="009F152E"/>
    <w:rsid w:val="009F60E3"/>
    <w:rsid w:val="00A019A8"/>
    <w:rsid w:val="00A022A1"/>
    <w:rsid w:val="00A027A3"/>
    <w:rsid w:val="00A037D1"/>
    <w:rsid w:val="00A04B06"/>
    <w:rsid w:val="00A1546E"/>
    <w:rsid w:val="00A157A1"/>
    <w:rsid w:val="00A16528"/>
    <w:rsid w:val="00A17A4A"/>
    <w:rsid w:val="00A24E1E"/>
    <w:rsid w:val="00A24E21"/>
    <w:rsid w:val="00A32641"/>
    <w:rsid w:val="00A3678F"/>
    <w:rsid w:val="00A37504"/>
    <w:rsid w:val="00A432EA"/>
    <w:rsid w:val="00A46F76"/>
    <w:rsid w:val="00A53940"/>
    <w:rsid w:val="00A54088"/>
    <w:rsid w:val="00A6439A"/>
    <w:rsid w:val="00A7231D"/>
    <w:rsid w:val="00A72C3F"/>
    <w:rsid w:val="00A73197"/>
    <w:rsid w:val="00A741F4"/>
    <w:rsid w:val="00A76E4D"/>
    <w:rsid w:val="00A81D22"/>
    <w:rsid w:val="00A906F1"/>
    <w:rsid w:val="00A90937"/>
    <w:rsid w:val="00A91A1B"/>
    <w:rsid w:val="00A93A1E"/>
    <w:rsid w:val="00A93CA0"/>
    <w:rsid w:val="00A95B4A"/>
    <w:rsid w:val="00AA623E"/>
    <w:rsid w:val="00AA63AA"/>
    <w:rsid w:val="00AA6693"/>
    <w:rsid w:val="00AB21B8"/>
    <w:rsid w:val="00AB4BEC"/>
    <w:rsid w:val="00AB4E7B"/>
    <w:rsid w:val="00AC291D"/>
    <w:rsid w:val="00AC58CA"/>
    <w:rsid w:val="00AD1980"/>
    <w:rsid w:val="00AD2530"/>
    <w:rsid w:val="00AD578F"/>
    <w:rsid w:val="00AD7A84"/>
    <w:rsid w:val="00AE0F31"/>
    <w:rsid w:val="00AE4E5E"/>
    <w:rsid w:val="00AE547E"/>
    <w:rsid w:val="00AF4E6F"/>
    <w:rsid w:val="00B05CE8"/>
    <w:rsid w:val="00B15823"/>
    <w:rsid w:val="00B16D72"/>
    <w:rsid w:val="00B24064"/>
    <w:rsid w:val="00B24D23"/>
    <w:rsid w:val="00B31D2B"/>
    <w:rsid w:val="00B335A1"/>
    <w:rsid w:val="00B33641"/>
    <w:rsid w:val="00B36EB4"/>
    <w:rsid w:val="00B43783"/>
    <w:rsid w:val="00B43984"/>
    <w:rsid w:val="00B45F58"/>
    <w:rsid w:val="00B47493"/>
    <w:rsid w:val="00B51A4E"/>
    <w:rsid w:val="00B54A05"/>
    <w:rsid w:val="00B55BEA"/>
    <w:rsid w:val="00B65E69"/>
    <w:rsid w:val="00B71D47"/>
    <w:rsid w:val="00B81461"/>
    <w:rsid w:val="00B8306F"/>
    <w:rsid w:val="00B8575C"/>
    <w:rsid w:val="00B87002"/>
    <w:rsid w:val="00B906FA"/>
    <w:rsid w:val="00B94524"/>
    <w:rsid w:val="00B95FDC"/>
    <w:rsid w:val="00B977C3"/>
    <w:rsid w:val="00BB16CA"/>
    <w:rsid w:val="00BB539B"/>
    <w:rsid w:val="00BB73B0"/>
    <w:rsid w:val="00BC195E"/>
    <w:rsid w:val="00BC3AFE"/>
    <w:rsid w:val="00BC5EC6"/>
    <w:rsid w:val="00BC71D0"/>
    <w:rsid w:val="00BD0081"/>
    <w:rsid w:val="00BD266A"/>
    <w:rsid w:val="00BD4CC0"/>
    <w:rsid w:val="00BE0C7B"/>
    <w:rsid w:val="00BE1139"/>
    <w:rsid w:val="00BE1545"/>
    <w:rsid w:val="00BE2802"/>
    <w:rsid w:val="00BE4FB9"/>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17EB6"/>
    <w:rsid w:val="00C309D4"/>
    <w:rsid w:val="00C37A45"/>
    <w:rsid w:val="00C454FE"/>
    <w:rsid w:val="00C478F8"/>
    <w:rsid w:val="00C47FF5"/>
    <w:rsid w:val="00C62599"/>
    <w:rsid w:val="00C63C0D"/>
    <w:rsid w:val="00C6774A"/>
    <w:rsid w:val="00C7255C"/>
    <w:rsid w:val="00C72F32"/>
    <w:rsid w:val="00C769F2"/>
    <w:rsid w:val="00C777C2"/>
    <w:rsid w:val="00C8102B"/>
    <w:rsid w:val="00C81CD9"/>
    <w:rsid w:val="00C825D8"/>
    <w:rsid w:val="00C83AFF"/>
    <w:rsid w:val="00C8464B"/>
    <w:rsid w:val="00C87F46"/>
    <w:rsid w:val="00C97477"/>
    <w:rsid w:val="00C97A3D"/>
    <w:rsid w:val="00CA5253"/>
    <w:rsid w:val="00CB12F8"/>
    <w:rsid w:val="00CB1818"/>
    <w:rsid w:val="00CC2FB5"/>
    <w:rsid w:val="00CC4B3B"/>
    <w:rsid w:val="00CD0420"/>
    <w:rsid w:val="00CD1C28"/>
    <w:rsid w:val="00CE40D8"/>
    <w:rsid w:val="00CE6C03"/>
    <w:rsid w:val="00CE798B"/>
    <w:rsid w:val="00CF21AD"/>
    <w:rsid w:val="00CF6CF5"/>
    <w:rsid w:val="00D02016"/>
    <w:rsid w:val="00D07D9C"/>
    <w:rsid w:val="00D12101"/>
    <w:rsid w:val="00D14AF2"/>
    <w:rsid w:val="00D158B8"/>
    <w:rsid w:val="00D24628"/>
    <w:rsid w:val="00D27F09"/>
    <w:rsid w:val="00D32E43"/>
    <w:rsid w:val="00D3709B"/>
    <w:rsid w:val="00D42ADE"/>
    <w:rsid w:val="00D4505B"/>
    <w:rsid w:val="00D45D75"/>
    <w:rsid w:val="00D46AB3"/>
    <w:rsid w:val="00D4736D"/>
    <w:rsid w:val="00D52609"/>
    <w:rsid w:val="00D60AC6"/>
    <w:rsid w:val="00D6570B"/>
    <w:rsid w:val="00D66364"/>
    <w:rsid w:val="00D70B90"/>
    <w:rsid w:val="00D71B79"/>
    <w:rsid w:val="00D71C11"/>
    <w:rsid w:val="00D77AC7"/>
    <w:rsid w:val="00D8049F"/>
    <w:rsid w:val="00D824F4"/>
    <w:rsid w:val="00D8352A"/>
    <w:rsid w:val="00D8703B"/>
    <w:rsid w:val="00D95E59"/>
    <w:rsid w:val="00D97163"/>
    <w:rsid w:val="00DA24B9"/>
    <w:rsid w:val="00DA4F2F"/>
    <w:rsid w:val="00DB098F"/>
    <w:rsid w:val="00DB4E76"/>
    <w:rsid w:val="00DB7EEE"/>
    <w:rsid w:val="00DC46E4"/>
    <w:rsid w:val="00DC4A61"/>
    <w:rsid w:val="00DD043D"/>
    <w:rsid w:val="00DD1363"/>
    <w:rsid w:val="00DD2AE7"/>
    <w:rsid w:val="00DD2D5F"/>
    <w:rsid w:val="00DD31CE"/>
    <w:rsid w:val="00DE1216"/>
    <w:rsid w:val="00DE3091"/>
    <w:rsid w:val="00DF021F"/>
    <w:rsid w:val="00DF12A3"/>
    <w:rsid w:val="00DF2D1C"/>
    <w:rsid w:val="00E04B8D"/>
    <w:rsid w:val="00E04CFE"/>
    <w:rsid w:val="00E06D8E"/>
    <w:rsid w:val="00E10968"/>
    <w:rsid w:val="00E10BC4"/>
    <w:rsid w:val="00E17AFB"/>
    <w:rsid w:val="00E321BE"/>
    <w:rsid w:val="00E32704"/>
    <w:rsid w:val="00E3392E"/>
    <w:rsid w:val="00E42749"/>
    <w:rsid w:val="00E44226"/>
    <w:rsid w:val="00E50D4E"/>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1C1C"/>
    <w:rsid w:val="00E959AD"/>
    <w:rsid w:val="00EA3142"/>
    <w:rsid w:val="00EA32C0"/>
    <w:rsid w:val="00EA6ACF"/>
    <w:rsid w:val="00EA7782"/>
    <w:rsid w:val="00EB2D8F"/>
    <w:rsid w:val="00EB36B1"/>
    <w:rsid w:val="00EB399C"/>
    <w:rsid w:val="00EC0A26"/>
    <w:rsid w:val="00EC26A2"/>
    <w:rsid w:val="00EC5847"/>
    <w:rsid w:val="00EC5D78"/>
    <w:rsid w:val="00ED65C1"/>
    <w:rsid w:val="00ED7D16"/>
    <w:rsid w:val="00EE3351"/>
    <w:rsid w:val="00EF638C"/>
    <w:rsid w:val="00F019A6"/>
    <w:rsid w:val="00F027F8"/>
    <w:rsid w:val="00F2043C"/>
    <w:rsid w:val="00F21FB2"/>
    <w:rsid w:val="00F2234A"/>
    <w:rsid w:val="00F23BFA"/>
    <w:rsid w:val="00F24976"/>
    <w:rsid w:val="00F27C34"/>
    <w:rsid w:val="00F305E1"/>
    <w:rsid w:val="00F30EC7"/>
    <w:rsid w:val="00F31BE5"/>
    <w:rsid w:val="00F32521"/>
    <w:rsid w:val="00F41DA5"/>
    <w:rsid w:val="00F43F36"/>
    <w:rsid w:val="00F50E23"/>
    <w:rsid w:val="00F51424"/>
    <w:rsid w:val="00F5613D"/>
    <w:rsid w:val="00F62451"/>
    <w:rsid w:val="00F720A4"/>
    <w:rsid w:val="00F73D1A"/>
    <w:rsid w:val="00F75382"/>
    <w:rsid w:val="00F77BB6"/>
    <w:rsid w:val="00F84005"/>
    <w:rsid w:val="00F9158D"/>
    <w:rsid w:val="00FA16FA"/>
    <w:rsid w:val="00FA2166"/>
    <w:rsid w:val="00FA675D"/>
    <w:rsid w:val="00FB4D51"/>
    <w:rsid w:val="00FB7648"/>
    <w:rsid w:val="00FC01F8"/>
    <w:rsid w:val="00FC357F"/>
    <w:rsid w:val="00FC5BAA"/>
    <w:rsid w:val="00FD20E9"/>
    <w:rsid w:val="00FE5600"/>
    <w:rsid w:val="00FE7466"/>
    <w:rsid w:val="00FF2EA4"/>
    <w:rsid w:val="00FF7A49"/>
    <w:rsid w:val="01EF572E"/>
    <w:rsid w:val="023F6BF7"/>
    <w:rsid w:val="02AA213A"/>
    <w:rsid w:val="032064E7"/>
    <w:rsid w:val="038E0721"/>
    <w:rsid w:val="04003C23"/>
    <w:rsid w:val="04294F27"/>
    <w:rsid w:val="049F51EA"/>
    <w:rsid w:val="04C2712A"/>
    <w:rsid w:val="04DF1F2B"/>
    <w:rsid w:val="04ED2D68"/>
    <w:rsid w:val="05254A5F"/>
    <w:rsid w:val="059C75DF"/>
    <w:rsid w:val="059D6B84"/>
    <w:rsid w:val="05AC5C0F"/>
    <w:rsid w:val="06A55C71"/>
    <w:rsid w:val="06C158EB"/>
    <w:rsid w:val="06F53E3D"/>
    <w:rsid w:val="075926EA"/>
    <w:rsid w:val="07987FF3"/>
    <w:rsid w:val="079D1FBD"/>
    <w:rsid w:val="07D433FC"/>
    <w:rsid w:val="07D94EB6"/>
    <w:rsid w:val="07DB005B"/>
    <w:rsid w:val="07DC2099"/>
    <w:rsid w:val="07FC04D8"/>
    <w:rsid w:val="087370B9"/>
    <w:rsid w:val="087C7B4E"/>
    <w:rsid w:val="092E203A"/>
    <w:rsid w:val="0AAF0151"/>
    <w:rsid w:val="0ADC163F"/>
    <w:rsid w:val="0B0C55A3"/>
    <w:rsid w:val="0B2B471F"/>
    <w:rsid w:val="0B8C708E"/>
    <w:rsid w:val="0BA871E7"/>
    <w:rsid w:val="0BB7681F"/>
    <w:rsid w:val="0C004B2C"/>
    <w:rsid w:val="0C2267DE"/>
    <w:rsid w:val="0D511BCD"/>
    <w:rsid w:val="0D9A2F32"/>
    <w:rsid w:val="0E2A338D"/>
    <w:rsid w:val="0EFE17C8"/>
    <w:rsid w:val="0F0E57E7"/>
    <w:rsid w:val="0F713C26"/>
    <w:rsid w:val="0FA364D6"/>
    <w:rsid w:val="0FFA0E2A"/>
    <w:rsid w:val="107F26DA"/>
    <w:rsid w:val="10967DE9"/>
    <w:rsid w:val="10DB6D7F"/>
    <w:rsid w:val="11B318DC"/>
    <w:rsid w:val="11B545A0"/>
    <w:rsid w:val="126B2BAF"/>
    <w:rsid w:val="12996038"/>
    <w:rsid w:val="12A06CFD"/>
    <w:rsid w:val="12CD5AA9"/>
    <w:rsid w:val="12FD57C9"/>
    <w:rsid w:val="130628D8"/>
    <w:rsid w:val="13392D98"/>
    <w:rsid w:val="13511DA5"/>
    <w:rsid w:val="1381162F"/>
    <w:rsid w:val="138959E3"/>
    <w:rsid w:val="13A445CA"/>
    <w:rsid w:val="13A50343"/>
    <w:rsid w:val="13CE6FBC"/>
    <w:rsid w:val="13FB7F63"/>
    <w:rsid w:val="14377C0F"/>
    <w:rsid w:val="14575E03"/>
    <w:rsid w:val="14D666DB"/>
    <w:rsid w:val="14EF4045"/>
    <w:rsid w:val="150D43F1"/>
    <w:rsid w:val="15132AEA"/>
    <w:rsid w:val="152F25BA"/>
    <w:rsid w:val="15323EC6"/>
    <w:rsid w:val="154F0566"/>
    <w:rsid w:val="16003D72"/>
    <w:rsid w:val="160C46A9"/>
    <w:rsid w:val="16D263AA"/>
    <w:rsid w:val="17306C2D"/>
    <w:rsid w:val="1817007E"/>
    <w:rsid w:val="18267AB6"/>
    <w:rsid w:val="18F25DD8"/>
    <w:rsid w:val="1901601B"/>
    <w:rsid w:val="19CE57F5"/>
    <w:rsid w:val="19DE5CD3"/>
    <w:rsid w:val="19E92EA6"/>
    <w:rsid w:val="1A004525"/>
    <w:rsid w:val="1A1C3315"/>
    <w:rsid w:val="1A2F0A01"/>
    <w:rsid w:val="1A4D657E"/>
    <w:rsid w:val="1AFF4613"/>
    <w:rsid w:val="1B6C2FEB"/>
    <w:rsid w:val="1B7A3E63"/>
    <w:rsid w:val="1BB11F7A"/>
    <w:rsid w:val="1BF77544"/>
    <w:rsid w:val="1C334DB0"/>
    <w:rsid w:val="1C4B7CFE"/>
    <w:rsid w:val="1C8342E7"/>
    <w:rsid w:val="1CE7377A"/>
    <w:rsid w:val="1D2A186E"/>
    <w:rsid w:val="1D892944"/>
    <w:rsid w:val="1D8C29A2"/>
    <w:rsid w:val="1DA11ABB"/>
    <w:rsid w:val="1DAD2A8C"/>
    <w:rsid w:val="1E05210A"/>
    <w:rsid w:val="1E575166"/>
    <w:rsid w:val="1E6F7E6E"/>
    <w:rsid w:val="1E9C236D"/>
    <w:rsid w:val="1EF36406"/>
    <w:rsid w:val="1F16734A"/>
    <w:rsid w:val="1F8E612F"/>
    <w:rsid w:val="1FAEA091"/>
    <w:rsid w:val="1FEE0A2E"/>
    <w:rsid w:val="1FFE758D"/>
    <w:rsid w:val="200F7270"/>
    <w:rsid w:val="202E0E7A"/>
    <w:rsid w:val="20947775"/>
    <w:rsid w:val="209B1873"/>
    <w:rsid w:val="20A0611A"/>
    <w:rsid w:val="22192627"/>
    <w:rsid w:val="22D93B65"/>
    <w:rsid w:val="233660B1"/>
    <w:rsid w:val="23416A94"/>
    <w:rsid w:val="234F597E"/>
    <w:rsid w:val="23842729"/>
    <w:rsid w:val="23B95264"/>
    <w:rsid w:val="23BC5A3E"/>
    <w:rsid w:val="23D1216B"/>
    <w:rsid w:val="23F52C20"/>
    <w:rsid w:val="23FC5CD6"/>
    <w:rsid w:val="242A1D2A"/>
    <w:rsid w:val="244823F9"/>
    <w:rsid w:val="24DF6C29"/>
    <w:rsid w:val="25245D32"/>
    <w:rsid w:val="256516E0"/>
    <w:rsid w:val="25787421"/>
    <w:rsid w:val="25ED6EF5"/>
    <w:rsid w:val="261C6242"/>
    <w:rsid w:val="26AB5FE8"/>
    <w:rsid w:val="26D63198"/>
    <w:rsid w:val="26F17200"/>
    <w:rsid w:val="270F5DA7"/>
    <w:rsid w:val="2731246D"/>
    <w:rsid w:val="274979CF"/>
    <w:rsid w:val="275210BB"/>
    <w:rsid w:val="27AF13DE"/>
    <w:rsid w:val="286D4306"/>
    <w:rsid w:val="29DD040A"/>
    <w:rsid w:val="2A0406E2"/>
    <w:rsid w:val="2A0656A8"/>
    <w:rsid w:val="2A32577F"/>
    <w:rsid w:val="2ABE71EB"/>
    <w:rsid w:val="2C0833AD"/>
    <w:rsid w:val="2C3D33B6"/>
    <w:rsid w:val="2C8478F1"/>
    <w:rsid w:val="2CF91A3F"/>
    <w:rsid w:val="2CFB6EDA"/>
    <w:rsid w:val="2D0F6B01"/>
    <w:rsid w:val="2E527668"/>
    <w:rsid w:val="2E6E3CFB"/>
    <w:rsid w:val="2E7A26A0"/>
    <w:rsid w:val="2EA2760D"/>
    <w:rsid w:val="2FAD513C"/>
    <w:rsid w:val="2FC11C09"/>
    <w:rsid w:val="2FC9123E"/>
    <w:rsid w:val="3024522F"/>
    <w:rsid w:val="305D1EAE"/>
    <w:rsid w:val="309914C3"/>
    <w:rsid w:val="313703D4"/>
    <w:rsid w:val="313D086B"/>
    <w:rsid w:val="317C672F"/>
    <w:rsid w:val="318F2491"/>
    <w:rsid w:val="31C51E84"/>
    <w:rsid w:val="328D1382"/>
    <w:rsid w:val="33122352"/>
    <w:rsid w:val="33597626"/>
    <w:rsid w:val="335D60A5"/>
    <w:rsid w:val="339E7C5E"/>
    <w:rsid w:val="33BF47D9"/>
    <w:rsid w:val="33ED199E"/>
    <w:rsid w:val="342B1D46"/>
    <w:rsid w:val="344828F8"/>
    <w:rsid w:val="344F51A3"/>
    <w:rsid w:val="346C7B0F"/>
    <w:rsid w:val="34764968"/>
    <w:rsid w:val="358B3826"/>
    <w:rsid w:val="35EA4102"/>
    <w:rsid w:val="36140CE4"/>
    <w:rsid w:val="365B6913"/>
    <w:rsid w:val="37031F9E"/>
    <w:rsid w:val="37AC319E"/>
    <w:rsid w:val="37BFA028"/>
    <w:rsid w:val="37CD1DE7"/>
    <w:rsid w:val="380A6843"/>
    <w:rsid w:val="38186329"/>
    <w:rsid w:val="38960E58"/>
    <w:rsid w:val="38B55CC7"/>
    <w:rsid w:val="38E03E10"/>
    <w:rsid w:val="391060DB"/>
    <w:rsid w:val="395E52C3"/>
    <w:rsid w:val="39756A74"/>
    <w:rsid w:val="39C20F5B"/>
    <w:rsid w:val="39D07618"/>
    <w:rsid w:val="39EE291F"/>
    <w:rsid w:val="3A52002D"/>
    <w:rsid w:val="3A695746"/>
    <w:rsid w:val="3AEA4709"/>
    <w:rsid w:val="3AEB1C60"/>
    <w:rsid w:val="3B0A6B5A"/>
    <w:rsid w:val="3B2E2848"/>
    <w:rsid w:val="3B6A683B"/>
    <w:rsid w:val="3B892174"/>
    <w:rsid w:val="3CA73615"/>
    <w:rsid w:val="3DB8289D"/>
    <w:rsid w:val="3DBD6105"/>
    <w:rsid w:val="3DE23DBE"/>
    <w:rsid w:val="3E0633EE"/>
    <w:rsid w:val="3E145966"/>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0FE0F0E"/>
    <w:rsid w:val="41005B39"/>
    <w:rsid w:val="410C1185"/>
    <w:rsid w:val="419D3DBE"/>
    <w:rsid w:val="41AA0C03"/>
    <w:rsid w:val="41C95E4D"/>
    <w:rsid w:val="41E9396D"/>
    <w:rsid w:val="427F40C9"/>
    <w:rsid w:val="429960CF"/>
    <w:rsid w:val="42CA6358"/>
    <w:rsid w:val="42D9011C"/>
    <w:rsid w:val="42F02ADA"/>
    <w:rsid w:val="43233126"/>
    <w:rsid w:val="43277BDB"/>
    <w:rsid w:val="434F5A51"/>
    <w:rsid w:val="43AA712C"/>
    <w:rsid w:val="451D704F"/>
    <w:rsid w:val="457E7FAC"/>
    <w:rsid w:val="45A00924"/>
    <w:rsid w:val="45B47174"/>
    <w:rsid w:val="45D10756"/>
    <w:rsid w:val="46701BD3"/>
    <w:rsid w:val="46756CDE"/>
    <w:rsid w:val="46A460B4"/>
    <w:rsid w:val="46B04A59"/>
    <w:rsid w:val="46BA646D"/>
    <w:rsid w:val="46FC24A1"/>
    <w:rsid w:val="470D1149"/>
    <w:rsid w:val="4732546E"/>
    <w:rsid w:val="4733370C"/>
    <w:rsid w:val="47503B46"/>
    <w:rsid w:val="477257F5"/>
    <w:rsid w:val="47AD2A83"/>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796990"/>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394C31"/>
    <w:rsid w:val="507A753A"/>
    <w:rsid w:val="50C41F9B"/>
    <w:rsid w:val="514279CB"/>
    <w:rsid w:val="514E10F6"/>
    <w:rsid w:val="51992547"/>
    <w:rsid w:val="51996F17"/>
    <w:rsid w:val="519A07DF"/>
    <w:rsid w:val="51DC755B"/>
    <w:rsid w:val="523C74A6"/>
    <w:rsid w:val="52BB345C"/>
    <w:rsid w:val="52CA1D4B"/>
    <w:rsid w:val="530F0D59"/>
    <w:rsid w:val="540567C7"/>
    <w:rsid w:val="54330A7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437DF3"/>
    <w:rsid w:val="5ABE313D"/>
    <w:rsid w:val="5B127639"/>
    <w:rsid w:val="5B72198F"/>
    <w:rsid w:val="5B8FCF33"/>
    <w:rsid w:val="5BD161ED"/>
    <w:rsid w:val="5CE82B4D"/>
    <w:rsid w:val="5CFF3BED"/>
    <w:rsid w:val="5D0B35B7"/>
    <w:rsid w:val="5D4C7FE2"/>
    <w:rsid w:val="5DA46FBF"/>
    <w:rsid w:val="5DB42C29"/>
    <w:rsid w:val="5E1E79DD"/>
    <w:rsid w:val="5E547F68"/>
    <w:rsid w:val="5EA762EA"/>
    <w:rsid w:val="5F804F7C"/>
    <w:rsid w:val="5F84507B"/>
    <w:rsid w:val="5FA66C4C"/>
    <w:rsid w:val="5FBF32AD"/>
    <w:rsid w:val="5FEB7598"/>
    <w:rsid w:val="600C1085"/>
    <w:rsid w:val="6022031E"/>
    <w:rsid w:val="604E4E9A"/>
    <w:rsid w:val="605F4325"/>
    <w:rsid w:val="60964868"/>
    <w:rsid w:val="60F4742F"/>
    <w:rsid w:val="6126799A"/>
    <w:rsid w:val="61A35225"/>
    <w:rsid w:val="61B228BF"/>
    <w:rsid w:val="626055AF"/>
    <w:rsid w:val="62804CAC"/>
    <w:rsid w:val="629C67BC"/>
    <w:rsid w:val="62E670F3"/>
    <w:rsid w:val="630C6032"/>
    <w:rsid w:val="63C35974"/>
    <w:rsid w:val="653D3504"/>
    <w:rsid w:val="656B46CF"/>
    <w:rsid w:val="65A6CCE1"/>
    <w:rsid w:val="66387CAD"/>
    <w:rsid w:val="664D7F9B"/>
    <w:rsid w:val="66A3028A"/>
    <w:rsid w:val="66A650D9"/>
    <w:rsid w:val="66D460EA"/>
    <w:rsid w:val="671B1581"/>
    <w:rsid w:val="672A3F5C"/>
    <w:rsid w:val="67DF478F"/>
    <w:rsid w:val="67E11BC9"/>
    <w:rsid w:val="67E266DE"/>
    <w:rsid w:val="67ED7463"/>
    <w:rsid w:val="685F7C35"/>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DD59C1"/>
    <w:rsid w:val="6EE65FD0"/>
    <w:rsid w:val="6EEF5FBA"/>
    <w:rsid w:val="6F1F3C7A"/>
    <w:rsid w:val="6F4B009B"/>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013F61"/>
    <w:rsid w:val="74624D35"/>
    <w:rsid w:val="74D001FC"/>
    <w:rsid w:val="74E67981"/>
    <w:rsid w:val="74F80F32"/>
    <w:rsid w:val="756A1E27"/>
    <w:rsid w:val="759F5B15"/>
    <w:rsid w:val="75BF3227"/>
    <w:rsid w:val="75DB056E"/>
    <w:rsid w:val="75FB64DD"/>
    <w:rsid w:val="76300070"/>
    <w:rsid w:val="768B56A2"/>
    <w:rsid w:val="770025E3"/>
    <w:rsid w:val="77271704"/>
    <w:rsid w:val="777BE1E5"/>
    <w:rsid w:val="777F4E56"/>
    <w:rsid w:val="777FFB5A"/>
    <w:rsid w:val="77AE203F"/>
    <w:rsid w:val="77C01083"/>
    <w:rsid w:val="77F9BDFE"/>
    <w:rsid w:val="780659D7"/>
    <w:rsid w:val="78370287"/>
    <w:rsid w:val="787E1A12"/>
    <w:rsid w:val="789A7408"/>
    <w:rsid w:val="78DD4B16"/>
    <w:rsid w:val="794111F1"/>
    <w:rsid w:val="795D6D6C"/>
    <w:rsid w:val="79B6B7CA"/>
    <w:rsid w:val="79D1617C"/>
    <w:rsid w:val="79DC614A"/>
    <w:rsid w:val="79FF8825"/>
    <w:rsid w:val="7A7AC12C"/>
    <w:rsid w:val="7AC47217"/>
    <w:rsid w:val="7AD2618C"/>
    <w:rsid w:val="7AE149BD"/>
    <w:rsid w:val="7AE262DC"/>
    <w:rsid w:val="7B647A4D"/>
    <w:rsid w:val="7BDFE1A2"/>
    <w:rsid w:val="7C2B0102"/>
    <w:rsid w:val="7C7E1CA6"/>
    <w:rsid w:val="7CFE890A"/>
    <w:rsid w:val="7D5947FB"/>
    <w:rsid w:val="7D5B5430"/>
    <w:rsid w:val="7D7FC70A"/>
    <w:rsid w:val="7D935155"/>
    <w:rsid w:val="7D9854CF"/>
    <w:rsid w:val="7DC97BD3"/>
    <w:rsid w:val="7E5C285E"/>
    <w:rsid w:val="7EB20667"/>
    <w:rsid w:val="7EBF5433"/>
    <w:rsid w:val="7EDEFF37"/>
    <w:rsid w:val="7F63377E"/>
    <w:rsid w:val="7F8A405C"/>
    <w:rsid w:val="7FD7EB92"/>
    <w:rsid w:val="7FDD71BC"/>
    <w:rsid w:val="7FFD3B64"/>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autoRedefine/>
    <w:qFormat/>
    <w:uiPriority w:val="0"/>
    <w:rPr>
      <w:color w:val="0000FF"/>
      <w:u w:val="single"/>
    </w:rPr>
  </w:style>
  <w:style w:type="character" w:styleId="16">
    <w:name w:val="annotation reference"/>
    <w:qFormat/>
    <w:uiPriority w:val="0"/>
    <w:rPr>
      <w:sz w:val="21"/>
      <w:szCs w:val="21"/>
    </w:rPr>
  </w:style>
  <w:style w:type="character" w:customStyle="1" w:styleId="17">
    <w:name w:val="批注文字 字符"/>
    <w:link w:val="3"/>
    <w:qFormat/>
    <w:uiPriority w:val="0"/>
    <w:rPr>
      <w:rFonts w:ascii="Calibri" w:hAnsi="Calibri"/>
      <w:kern w:val="2"/>
      <w:sz w:val="21"/>
      <w:szCs w:val="24"/>
    </w:rPr>
  </w:style>
  <w:style w:type="character" w:customStyle="1" w:styleId="18">
    <w:name w:val="正文文本缩进 字符"/>
    <w:link w:val="5"/>
    <w:qFormat/>
    <w:uiPriority w:val="0"/>
    <w:rPr>
      <w:rFonts w:ascii="宋体" w:hAnsi="宋体"/>
      <w:kern w:val="2"/>
      <w:sz w:val="30"/>
      <w:szCs w:val="30"/>
    </w:rPr>
  </w:style>
  <w:style w:type="character" w:customStyle="1" w:styleId="19">
    <w:name w:val="批注框文本 字符"/>
    <w:link w:val="6"/>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13</Pages>
  <Words>3256</Words>
  <Characters>3469</Characters>
  <Lines>55</Lines>
  <Paragraphs>15</Paragraphs>
  <TotalTime>354</TotalTime>
  <ScaleCrop>false</ScaleCrop>
  <LinksUpToDate>false</LinksUpToDate>
  <CharactersWithSpaces>3481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2023-01-01T06:10:00Z</dcterms:created>
  <dc:creator>微软用户</dc:creator>
  <cp:lastModifiedBy>黎黎</cp:lastModifiedBy>
  <cp:lastPrinted>2024-01-15T11:45:00Z</cp:lastPrinted>
  <dcterms:modified xsi:type="dcterms:W3CDTF">2025-01-24T12:23:20Z</dcterms:modified>
  <dc:title>湖南商务职业技术学院2014年招生章程</dc:title>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6C2C1BB4559A4297A1C7ACEEAB85D81A_13</vt:lpwstr>
  </property>
  <property fmtid="{D5CDD505-2E9C-101B-9397-08002B2CF9AE}" pid="4" name="KSOTemplateDocerSaveRecord">
    <vt:lpwstr>eyJoZGlkIjoiMDEzMDVkYzRmMDFiZTQwNDEwY2JlZGE2ZDY1MGIxZTkiLCJ1c2VySWQiOiIzNDYzOTEyMzQifQ==</vt:lpwstr>
  </property>
</Properties>
</file>