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nts/font5.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366685">
      <w:pPr>
        <w:spacing w:before="156" w:beforeLines="50" w:after="156" w:afterLines="50" w:line="500" w:lineRule="exact"/>
        <w:jc w:val="center"/>
        <w:rPr>
          <w:rFonts w:hint="eastAsia" w:ascii="等线" w:hAnsi="等线" w:eastAsia="华文中宋" w:cs="华文中宋"/>
          <w:b/>
          <w:bCs/>
          <w:sz w:val="36"/>
          <w:szCs w:val="36"/>
        </w:rPr>
      </w:pPr>
      <w:bookmarkStart w:id="0" w:name="zhengwen"/>
      <w:r>
        <w:rPr>
          <w:rFonts w:hint="eastAsia" w:ascii="等线" w:hAnsi="等线" w:eastAsia="华文中宋" w:cs="华文中宋"/>
          <w:b/>
          <w:bCs/>
          <w:sz w:val="36"/>
          <w:szCs w:val="36"/>
        </w:rPr>
        <w:t>湖南网络工程职业学院2025年高职单招章程</w:t>
      </w:r>
    </w:p>
    <w:p w14:paraId="34BFD56B">
      <w:pPr>
        <w:numPr>
          <w:ilvl w:val="0"/>
          <w:numId w:val="1"/>
        </w:numPr>
        <w:spacing w:before="312" w:beforeLines="100" w:after="156" w:afterLines="50" w:line="680" w:lineRule="exact"/>
        <w:jc w:val="center"/>
        <w:rPr>
          <w:rFonts w:hint="eastAsia" w:ascii="仿宋" w:hAnsi="仿宋" w:eastAsia="仿宋" w:cs="仿宋"/>
          <w:b/>
          <w:bCs/>
          <w:sz w:val="32"/>
          <w:szCs w:val="32"/>
        </w:rPr>
      </w:pPr>
      <w:r>
        <w:rPr>
          <w:rFonts w:hint="eastAsia" w:ascii="仿宋" w:hAnsi="仿宋" w:eastAsia="仿宋" w:cs="仿宋"/>
          <w:b/>
          <w:bCs/>
          <w:sz w:val="32"/>
          <w:szCs w:val="32"/>
        </w:rPr>
        <w:t>总 则</w:t>
      </w:r>
    </w:p>
    <w:p w14:paraId="69CFB064">
      <w:pPr>
        <w:numPr>
          <w:ilvl w:val="0"/>
          <w:numId w:val="2"/>
        </w:numPr>
        <w:spacing w:line="500" w:lineRule="exact"/>
        <w:ind w:firstLine="560" w:firstLineChars="200"/>
        <w:rPr>
          <w:rFonts w:hint="eastAsia" w:ascii="等线" w:hAnsi="等线" w:eastAsia="仿宋" w:cs="仿宋"/>
          <w:color w:val="FF0000"/>
          <w:sz w:val="28"/>
          <w:szCs w:val="28"/>
        </w:rPr>
      </w:pPr>
      <w:r>
        <w:rPr>
          <w:rFonts w:hint="eastAsia" w:ascii="等线" w:hAnsi="等线" w:eastAsia="仿宋" w:cs="仿宋"/>
          <w:sz w:val="28"/>
          <w:szCs w:val="28"/>
        </w:rPr>
        <w:t>根据《中华人民共和国教育法》《中华人民共和国高等教育法》等法律法规及教育部有关规定，依据湖南省教育厅《关于做好湖南省2025年高职（高专）院校单独招生工作的通知》（湘教通〔2024〕271号）有关要求，结合学校单独招生工作（以下简称单招）实际，特制定本章程。</w:t>
      </w:r>
    </w:p>
    <w:p w14:paraId="18F43D15">
      <w:pPr>
        <w:numPr>
          <w:ilvl w:val="0"/>
          <w:numId w:val="2"/>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 xml:space="preserve">学校全称：湖南网络工程职业学院               </w:t>
      </w:r>
    </w:p>
    <w:p w14:paraId="709310DF">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办学地点：</w:t>
      </w:r>
      <w:r>
        <w:rPr>
          <w:rFonts w:hint="eastAsia" w:ascii="仿宋" w:hAnsi="仿宋" w:eastAsia="仿宋" w:cs="仿宋"/>
          <w:sz w:val="28"/>
          <w:szCs w:val="28"/>
        </w:rPr>
        <w:t>湖南省长沙市芙蓉南路一段371号</w:t>
      </w:r>
      <w:r>
        <w:rPr>
          <w:rFonts w:hint="eastAsia" w:ascii="等线" w:hAnsi="等线" w:eastAsia="仿宋" w:cs="仿宋"/>
          <w:sz w:val="28"/>
          <w:szCs w:val="28"/>
        </w:rPr>
        <w:t xml:space="preserve">        </w:t>
      </w:r>
    </w:p>
    <w:p w14:paraId="4A9B7A63">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 xml:space="preserve">主管部门：湖南省教育厅     </w:t>
      </w:r>
    </w:p>
    <w:p w14:paraId="572754D4">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办学层次：高职（专科）</w:t>
      </w:r>
    </w:p>
    <w:p w14:paraId="78FE5E5F">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 xml:space="preserve">湖南省院校代号：4379        </w:t>
      </w:r>
    </w:p>
    <w:p w14:paraId="56CD69A3">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 xml:space="preserve">办学类型：公办        </w:t>
      </w:r>
    </w:p>
    <w:p w14:paraId="4EE3E042">
      <w:pPr>
        <w:numPr>
          <w:ilvl w:val="0"/>
          <w:numId w:val="2"/>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颁发学历证书的学校名称：湖南网络工程职业学院。证书种类：普通高等学校全日制专科毕业证书。</w:t>
      </w:r>
    </w:p>
    <w:p w14:paraId="6953CF54">
      <w:pPr>
        <w:numPr>
          <w:ilvl w:val="0"/>
          <w:numId w:val="2"/>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学校单招工作遵循“公平竞争、公正选拔、公开透明”的原则，坚决执行招生政策规定和纪律要求，严格实施考试招生“阳光工程”。</w:t>
      </w:r>
    </w:p>
    <w:p w14:paraId="52E457A0">
      <w:pPr>
        <w:numPr>
          <w:ilvl w:val="0"/>
          <w:numId w:val="2"/>
        </w:numPr>
        <w:spacing w:line="500" w:lineRule="exact"/>
        <w:ind w:firstLine="560" w:firstLineChars="200"/>
        <w:rPr>
          <w:rFonts w:hint="eastAsia" w:ascii="等线" w:hAnsi="等线" w:eastAsia="仿宋" w:cs="仿宋"/>
          <w:sz w:val="28"/>
          <w:szCs w:val="28"/>
          <w:u w:val="single"/>
        </w:rPr>
      </w:pPr>
      <w:r>
        <w:rPr>
          <w:rFonts w:hint="eastAsia" w:ascii="等线" w:hAnsi="等线" w:eastAsia="仿宋" w:cs="仿宋"/>
          <w:sz w:val="28"/>
          <w:szCs w:val="28"/>
        </w:rPr>
        <w:t xml:space="preserve">学校简介：我校专科办学历史46年，是一所致力于运用科技与互联网技术来推动职业人才培养的高职学院。拥有享受国务院特殊津贴教师、全国模范教师、全国黄炎培职业教育奖杰出教师、省级教学名师、芙蓉教学名师、全国轻工技术能手、全国技术能手10余人。正高、副高职称近200人，博士、硕士教师400多人，国家级和省级教学名师、省级专业带头人和青年骨干教师近30人，一线企业能工巧匠兼职教师40人，省级优秀教学团队3个。学校立足湖南，面向现代服务业，服务互联网新业态，着力培养互联网运维技术和互联网应用服务领域高素质技能型人才。 </w:t>
      </w:r>
      <w:r>
        <w:rPr>
          <w:rFonts w:hint="eastAsia" w:ascii="等线" w:hAnsi="等线" w:eastAsia="仿宋" w:cs="仿宋"/>
          <w:color w:val="FF0000"/>
          <w:sz w:val="28"/>
          <w:szCs w:val="28"/>
        </w:rPr>
        <w:t xml:space="preserve"> </w:t>
      </w:r>
      <w:r>
        <w:rPr>
          <w:rFonts w:hint="eastAsia" w:ascii="等线" w:hAnsi="等线" w:eastAsia="仿宋" w:cs="仿宋"/>
          <w:sz w:val="28"/>
          <w:szCs w:val="28"/>
        </w:rPr>
        <w:t xml:space="preserve">            </w:t>
      </w:r>
    </w:p>
    <w:p w14:paraId="0C3D0279">
      <w:pPr>
        <w:numPr>
          <w:ilvl w:val="0"/>
          <w:numId w:val="1"/>
        </w:numPr>
        <w:spacing w:before="156" w:beforeLines="50" w:after="156" w:afterLines="50" w:line="680" w:lineRule="exact"/>
        <w:jc w:val="center"/>
        <w:rPr>
          <w:rFonts w:hint="eastAsia" w:ascii="仿宋" w:hAnsi="仿宋" w:eastAsia="仿宋" w:cs="仿宋"/>
          <w:b/>
          <w:bCs/>
          <w:sz w:val="32"/>
          <w:szCs w:val="32"/>
        </w:rPr>
      </w:pPr>
      <w:r>
        <w:rPr>
          <w:rFonts w:hint="eastAsia" w:ascii="仿宋" w:hAnsi="仿宋" w:eastAsia="仿宋" w:cs="仿宋"/>
          <w:b/>
          <w:bCs/>
          <w:sz w:val="32"/>
          <w:szCs w:val="32"/>
        </w:rPr>
        <w:t>组织机构及职责</w:t>
      </w:r>
    </w:p>
    <w:p w14:paraId="1CCE1B2E">
      <w:pPr>
        <w:numPr>
          <w:ilvl w:val="0"/>
          <w:numId w:val="2"/>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 xml:space="preserve"> 学校招生工作领导小组负责研究决定本校单招规模确定、政策制定等重大事项，学校招生就业处负责单招组织实施的日常工作，学校教务处负责单招的考试组织工作。</w:t>
      </w:r>
    </w:p>
    <w:p w14:paraId="2FECC7C1">
      <w:pPr>
        <w:numPr>
          <w:ilvl w:val="0"/>
          <w:numId w:val="2"/>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 xml:space="preserve"> 学校纪委负责全程监督检查单招工作。</w:t>
      </w:r>
    </w:p>
    <w:p w14:paraId="1796137F">
      <w:pPr>
        <w:numPr>
          <w:ilvl w:val="0"/>
          <w:numId w:val="1"/>
        </w:numPr>
        <w:spacing w:before="156" w:beforeLines="50" w:after="156" w:afterLines="50" w:line="680" w:lineRule="exact"/>
        <w:jc w:val="center"/>
        <w:rPr>
          <w:rFonts w:hint="eastAsia" w:ascii="仿宋" w:hAnsi="仿宋" w:eastAsia="仿宋" w:cs="仿宋"/>
          <w:b/>
          <w:bCs/>
          <w:sz w:val="32"/>
          <w:szCs w:val="32"/>
        </w:rPr>
      </w:pPr>
      <w:r>
        <w:rPr>
          <w:rFonts w:hint="eastAsia" w:ascii="仿宋" w:hAnsi="仿宋" w:eastAsia="仿宋" w:cs="仿宋"/>
          <w:b/>
          <w:bCs/>
          <w:sz w:val="32"/>
          <w:szCs w:val="32"/>
        </w:rPr>
        <w:t>单招报考</w:t>
      </w:r>
    </w:p>
    <w:p w14:paraId="37882871">
      <w:pPr>
        <w:widowControl/>
        <w:spacing w:line="560" w:lineRule="atLeast"/>
        <w:ind w:firstLine="608"/>
        <w:jc w:val="left"/>
        <w:rPr>
          <w:rFonts w:hint="eastAsia" w:ascii="等线" w:hAnsi="等线" w:eastAsia="仿宋" w:cs="仿宋"/>
          <w:sz w:val="28"/>
          <w:szCs w:val="28"/>
        </w:rPr>
      </w:pPr>
      <w:r>
        <w:rPr>
          <w:rFonts w:hint="eastAsia" w:ascii="等线" w:hAnsi="等线" w:eastAsia="仿宋" w:cs="仿宋"/>
          <w:b/>
          <w:bCs/>
          <w:sz w:val="28"/>
          <w:szCs w:val="28"/>
        </w:rPr>
        <w:t>第八条</w:t>
      </w:r>
      <w:r>
        <w:rPr>
          <w:rFonts w:hint="eastAsia" w:ascii="等线" w:hAnsi="等线" w:eastAsia="仿宋" w:cs="仿宋"/>
          <w:sz w:val="28"/>
          <w:szCs w:val="28"/>
        </w:rPr>
        <w:t xml:space="preserve"> </w:t>
      </w:r>
      <w:r>
        <w:rPr>
          <w:rFonts w:ascii="等线" w:hAnsi="等线" w:eastAsia="仿宋" w:cs="仿宋"/>
          <w:sz w:val="28"/>
          <w:szCs w:val="28"/>
        </w:rPr>
        <w:t>高职单招对象为符合我省2025年普通高考（含对口招生考试）报名条件并已参加高考报名的人员。</w:t>
      </w:r>
    </w:p>
    <w:p w14:paraId="19CB6562">
      <w:p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第九条</w:t>
      </w:r>
      <w:r>
        <w:rPr>
          <w:rFonts w:hint="eastAsia" w:ascii="等线" w:hAnsi="等线" w:eastAsia="仿宋" w:cs="仿宋"/>
          <w:color w:val="FF0000"/>
          <w:sz w:val="28"/>
          <w:szCs w:val="28"/>
        </w:rPr>
        <w:t xml:space="preserve"> </w:t>
      </w:r>
      <w:r>
        <w:rPr>
          <w:rFonts w:hint="eastAsia" w:ascii="等线" w:hAnsi="等线" w:eastAsia="仿宋" w:cs="仿宋"/>
          <w:sz w:val="28"/>
          <w:szCs w:val="28"/>
        </w:rPr>
        <w:t>全省单招统一报考和填报志愿时间为2025年2月18日08：00－2月25日17：00，实行网上报考和填报志愿。高职单招志愿设第一志愿和第二志愿，考生可根据自己意愿分别填报1所高职院校。没有填报高职单招志愿的考生，不得参加单招考试及录取。</w:t>
      </w:r>
    </w:p>
    <w:p w14:paraId="4BE0DEDF">
      <w:pPr>
        <w:spacing w:line="6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在此期间，考生可登录湖南省普通高校招生考试考生综合信息平台（以下简称“考生综合信息平台”）</w:t>
      </w:r>
      <w:r>
        <w:rPr>
          <w:rFonts w:hint="eastAsia" w:ascii="仿宋" w:hAnsi="仿宋" w:eastAsia="仿宋" w:cs="仿宋"/>
          <w:sz w:val="28"/>
          <w:szCs w:val="28"/>
        </w:rPr>
        <w:t>（网址：https://ks.hneao.cn）</w:t>
      </w:r>
      <w:r>
        <w:rPr>
          <w:rFonts w:hint="eastAsia" w:ascii="等线" w:hAnsi="等线" w:eastAsia="仿宋" w:cs="仿宋"/>
          <w:sz w:val="28"/>
          <w:szCs w:val="28"/>
        </w:rPr>
        <w:t>或“潇湘高考”</w:t>
      </w:r>
      <w:r>
        <w:rPr>
          <w:rFonts w:hint="eastAsia" w:ascii="仿宋" w:hAnsi="仿宋" w:eastAsia="仿宋" w:cs="仿宋"/>
          <w:sz w:val="28"/>
          <w:szCs w:val="28"/>
        </w:rPr>
        <w:t>APP</w:t>
      </w:r>
      <w:r>
        <w:rPr>
          <w:rFonts w:hint="eastAsia" w:ascii="等线" w:hAnsi="等线" w:eastAsia="仿宋" w:cs="仿宋"/>
          <w:sz w:val="28"/>
          <w:szCs w:val="28"/>
        </w:rPr>
        <w:t>（通过苹果应用商店、腾讯应用宝、华为应用商店、小米应用商店或“</w:t>
      </w:r>
      <w:r>
        <w:rPr>
          <w:rFonts w:ascii="等线" w:hAnsi="等线" w:eastAsia="仿宋" w:cs="仿宋"/>
          <w:sz w:val="28"/>
          <w:szCs w:val="28"/>
        </w:rPr>
        <w:t>湖南省普通高校招生考试考生综合信息平台</w:t>
      </w:r>
      <w:r>
        <w:rPr>
          <w:rFonts w:hint="eastAsia" w:ascii="等线" w:hAnsi="等线" w:eastAsia="仿宋" w:cs="仿宋"/>
          <w:sz w:val="28"/>
          <w:szCs w:val="28"/>
        </w:rPr>
        <w:t>”首页下载</w:t>
      </w:r>
      <w:r>
        <w:rPr>
          <w:rFonts w:hint="eastAsia" w:ascii="仿宋" w:hAnsi="仿宋" w:eastAsia="仿宋" w:cs="仿宋"/>
          <w:sz w:val="28"/>
          <w:szCs w:val="28"/>
        </w:rPr>
        <w:t>APP</w:t>
      </w:r>
      <w:r>
        <w:rPr>
          <w:rFonts w:hint="eastAsia" w:ascii="等线" w:hAnsi="等线" w:eastAsia="仿宋" w:cs="仿宋"/>
          <w:sz w:val="28"/>
          <w:szCs w:val="28"/>
        </w:rPr>
        <w:t>）填报报考志愿信息。请考生在报考前关注本校招生网（https://www.hnou.edu.cn/sites/html/wyzs/）和官方公众号公布的有关信息。</w:t>
      </w:r>
    </w:p>
    <w:p w14:paraId="5CFD528D">
      <w:pPr>
        <w:numPr>
          <w:ilvl w:val="0"/>
          <w:numId w:val="3"/>
        </w:numPr>
        <w:spacing w:line="6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填报专业要求。我校实行专业组志愿，考生在填报我校志愿时，需选择一个专业组中的1个专业（多填无效），并确定是否选择专业服从调剂。</w:t>
      </w:r>
    </w:p>
    <w:p w14:paraId="01247A47">
      <w:pPr>
        <w:spacing w:line="500" w:lineRule="exact"/>
        <w:ind w:left="420" w:leftChars="200"/>
        <w:rPr>
          <w:rFonts w:hint="eastAsia" w:ascii="等线" w:hAnsi="等线" w:eastAsia="仿宋" w:cs="仿宋"/>
          <w:color w:val="FF0000"/>
          <w:sz w:val="28"/>
          <w:szCs w:val="28"/>
        </w:rPr>
      </w:pPr>
    </w:p>
    <w:p w14:paraId="3CB3370D">
      <w:pPr>
        <w:numPr>
          <w:ilvl w:val="0"/>
          <w:numId w:val="1"/>
        </w:numPr>
        <w:spacing w:before="156" w:beforeLines="50" w:after="156" w:afterLines="50" w:line="680" w:lineRule="exact"/>
        <w:jc w:val="center"/>
        <w:rPr>
          <w:rFonts w:hint="eastAsia" w:ascii="仿宋" w:hAnsi="仿宋" w:eastAsia="仿宋" w:cs="仿宋"/>
          <w:b/>
          <w:bCs/>
          <w:sz w:val="32"/>
          <w:szCs w:val="32"/>
        </w:rPr>
      </w:pPr>
      <w:r>
        <w:rPr>
          <w:rFonts w:hint="eastAsia" w:ascii="仿宋" w:hAnsi="仿宋" w:eastAsia="仿宋" w:cs="仿宋"/>
          <w:b/>
          <w:bCs/>
          <w:sz w:val="32"/>
          <w:szCs w:val="32"/>
        </w:rPr>
        <w:t>单招计划及专业</w:t>
      </w:r>
    </w:p>
    <w:p w14:paraId="31D8E084">
      <w:pPr>
        <w:widowControl/>
        <w:spacing w:line="500" w:lineRule="exact"/>
        <w:ind w:firstLine="562" w:firstLineChars="200"/>
        <w:jc w:val="left"/>
        <w:rPr>
          <w:rFonts w:hint="eastAsia" w:ascii="仿宋" w:hAnsi="仿宋" w:eastAsia="仿宋" w:cs="宋体"/>
          <w:b/>
          <w:kern w:val="0"/>
          <w:sz w:val="28"/>
        </w:rPr>
      </w:pPr>
      <w:r>
        <w:rPr>
          <w:rFonts w:hint="eastAsia" w:ascii="等线" w:hAnsi="等线" w:eastAsia="仿宋" w:cs="仿宋"/>
          <w:b/>
          <w:bCs/>
          <w:sz w:val="28"/>
          <w:szCs w:val="28"/>
        </w:rPr>
        <w:t>第十</w:t>
      </w:r>
      <w:r>
        <w:rPr>
          <w:rFonts w:hint="eastAsia" w:ascii="等线" w:hAnsi="等线" w:eastAsia="仿宋" w:cs="仿宋"/>
          <w:b/>
          <w:bCs/>
          <w:sz w:val="28"/>
          <w:szCs w:val="28"/>
          <w:lang w:val="en-US" w:eastAsia="zh-CN"/>
        </w:rPr>
        <w:t>一</w:t>
      </w:r>
      <w:r>
        <w:rPr>
          <w:rFonts w:hint="eastAsia" w:ascii="等线" w:hAnsi="等线" w:eastAsia="仿宋" w:cs="仿宋"/>
          <w:b/>
          <w:bCs/>
          <w:sz w:val="28"/>
          <w:szCs w:val="28"/>
        </w:rPr>
        <w:t xml:space="preserve">条 </w:t>
      </w:r>
      <w:r>
        <w:rPr>
          <w:rFonts w:hint="eastAsia" w:ascii="等线" w:hAnsi="等线" w:eastAsia="仿宋" w:cs="仿宋"/>
          <w:sz w:val="28"/>
          <w:szCs w:val="28"/>
        </w:rPr>
        <w:t>我校2025年单招总计划数为</w:t>
      </w:r>
      <w:r>
        <w:rPr>
          <w:rFonts w:hint="eastAsia" w:ascii="等线" w:hAnsi="等线" w:eastAsia="仿宋" w:cs="仿宋"/>
          <w:sz w:val="28"/>
          <w:szCs w:val="28"/>
          <w:lang w:val="en-US" w:eastAsia="zh-CN"/>
        </w:rPr>
        <w:t>800</w:t>
      </w:r>
      <w:r>
        <w:rPr>
          <w:rFonts w:hint="eastAsia" w:ascii="等线" w:hAnsi="等线" w:eastAsia="仿宋" w:cs="仿宋"/>
          <w:sz w:val="28"/>
          <w:szCs w:val="28"/>
        </w:rPr>
        <w:t>人，其中包含单列计划</w:t>
      </w:r>
      <w:r>
        <w:rPr>
          <w:rFonts w:hint="eastAsia" w:ascii="等线" w:hAnsi="等线" w:eastAsia="仿宋" w:cs="仿宋"/>
          <w:sz w:val="28"/>
          <w:szCs w:val="28"/>
          <w:lang w:val="en-US" w:eastAsia="zh-CN"/>
        </w:rPr>
        <w:t>的体</w:t>
      </w:r>
      <w:r>
        <w:rPr>
          <w:rFonts w:hint="eastAsia" w:ascii="等线" w:hAnsi="等线" w:eastAsia="仿宋" w:cs="仿宋"/>
          <w:sz w:val="28"/>
          <w:szCs w:val="28"/>
        </w:rPr>
        <w:t>育特长生12人。学费标准如下表，各专业最终学费标准以2</w:t>
      </w:r>
      <w:r>
        <w:rPr>
          <w:rFonts w:ascii="等线" w:hAnsi="等线" w:eastAsia="仿宋" w:cs="仿宋"/>
          <w:sz w:val="28"/>
          <w:szCs w:val="28"/>
        </w:rPr>
        <w:t>02</w:t>
      </w:r>
      <w:r>
        <w:rPr>
          <w:rFonts w:hint="eastAsia" w:ascii="等线" w:hAnsi="等线" w:eastAsia="仿宋" w:cs="仿宋"/>
          <w:sz w:val="28"/>
          <w:szCs w:val="28"/>
        </w:rPr>
        <w:t xml:space="preserve">5年湖南省物价主管部门审核为准。所有专业均不限招生科类，即物理类、历史类、职高对口类考生均可报考。 </w:t>
      </w:r>
      <w:r>
        <w:rPr>
          <w:rFonts w:hint="eastAsia" w:ascii="等线" w:hAnsi="等线" w:eastAsia="仿宋" w:cs="仿宋"/>
          <w:sz w:val="28"/>
          <w:szCs w:val="28"/>
          <w:lang w:val="en-US" w:eastAsia="zh-CN"/>
        </w:rPr>
        <w:t>学校2025年单招专业及计划数以省教育考试院最终公布的为准。</w:t>
      </w:r>
      <w:r>
        <w:rPr>
          <w:rFonts w:hint="eastAsia" w:ascii="等线" w:hAnsi="等线" w:eastAsia="仿宋" w:cs="仿宋"/>
          <w:sz w:val="28"/>
          <w:szCs w:val="28"/>
        </w:rPr>
        <w:t xml:space="preserve">       </w:t>
      </w:r>
    </w:p>
    <w:tbl>
      <w:tblPr>
        <w:tblStyle w:val="11"/>
        <w:tblW w:w="7825" w:type="dxa"/>
        <w:jc w:val="center"/>
        <w:tblLayout w:type="fixed"/>
        <w:tblCellMar>
          <w:top w:w="0" w:type="dxa"/>
          <w:left w:w="108" w:type="dxa"/>
          <w:bottom w:w="0" w:type="dxa"/>
          <w:right w:w="108" w:type="dxa"/>
        </w:tblCellMar>
      </w:tblPr>
      <w:tblGrid>
        <w:gridCol w:w="1318"/>
        <w:gridCol w:w="4631"/>
        <w:gridCol w:w="1876"/>
      </w:tblGrid>
      <w:tr w14:paraId="77C9C0A3">
        <w:tblPrEx>
          <w:tblCellMar>
            <w:top w:w="0" w:type="dxa"/>
            <w:left w:w="108" w:type="dxa"/>
            <w:bottom w:w="0" w:type="dxa"/>
            <w:right w:w="108" w:type="dxa"/>
          </w:tblCellMar>
        </w:tblPrEx>
        <w:trPr>
          <w:trHeight w:val="662" w:hRule="exact"/>
          <w:jc w:val="center"/>
        </w:trPr>
        <w:tc>
          <w:tcPr>
            <w:tcW w:w="1318" w:type="dxa"/>
            <w:tcBorders>
              <w:top w:val="single" w:color="auto" w:sz="4" w:space="0"/>
              <w:left w:val="single" w:color="auto" w:sz="4" w:space="0"/>
              <w:bottom w:val="single" w:color="auto" w:sz="4" w:space="0"/>
              <w:right w:val="single" w:color="auto" w:sz="4" w:space="0"/>
            </w:tcBorders>
            <w:noWrap/>
            <w:vAlign w:val="center"/>
          </w:tcPr>
          <w:p w14:paraId="2F127CD0">
            <w:pPr>
              <w:widowControl/>
              <w:jc w:val="center"/>
              <w:textAlignment w:val="center"/>
              <w:rPr>
                <w:rFonts w:hint="eastAsia" w:ascii="宋体" w:hAnsi="宋体" w:cs="宋体"/>
                <w:b/>
                <w:kern w:val="0"/>
                <w:szCs w:val="21"/>
              </w:rPr>
            </w:pPr>
            <w:r>
              <w:rPr>
                <w:rFonts w:hint="eastAsia" w:ascii="宋体" w:hAnsi="宋体" w:cs="宋体"/>
                <w:b/>
                <w:bCs/>
                <w:kern w:val="0"/>
                <w:szCs w:val="21"/>
              </w:rPr>
              <w:t>专业组</w:t>
            </w:r>
          </w:p>
        </w:tc>
        <w:tc>
          <w:tcPr>
            <w:tcW w:w="4631" w:type="dxa"/>
            <w:tcBorders>
              <w:top w:val="single" w:color="auto" w:sz="4" w:space="0"/>
              <w:left w:val="nil"/>
              <w:bottom w:val="single" w:color="auto" w:sz="4" w:space="0"/>
              <w:right w:val="single" w:color="auto" w:sz="4" w:space="0"/>
            </w:tcBorders>
            <w:noWrap/>
            <w:vAlign w:val="center"/>
          </w:tcPr>
          <w:p w14:paraId="334B06FC">
            <w:pPr>
              <w:widowControl/>
              <w:jc w:val="center"/>
              <w:textAlignment w:val="center"/>
              <w:rPr>
                <w:rFonts w:hint="eastAsia" w:ascii="宋体" w:hAnsi="宋体" w:cs="宋体"/>
                <w:b/>
                <w:kern w:val="0"/>
                <w:szCs w:val="21"/>
              </w:rPr>
            </w:pPr>
            <w:r>
              <w:rPr>
                <w:rFonts w:hint="eastAsia" w:ascii="宋体" w:hAnsi="宋体" w:cs="宋体"/>
                <w:b/>
                <w:bCs/>
                <w:kern w:val="0"/>
                <w:szCs w:val="21"/>
              </w:rPr>
              <w:t>专业名称</w:t>
            </w:r>
          </w:p>
        </w:tc>
        <w:tc>
          <w:tcPr>
            <w:tcW w:w="1876" w:type="dxa"/>
            <w:tcBorders>
              <w:top w:val="single" w:color="auto" w:sz="4" w:space="0"/>
              <w:left w:val="nil"/>
              <w:bottom w:val="single" w:color="auto" w:sz="4" w:space="0"/>
              <w:right w:val="single" w:color="auto" w:sz="4" w:space="0"/>
            </w:tcBorders>
            <w:noWrap/>
            <w:vAlign w:val="center"/>
          </w:tcPr>
          <w:p w14:paraId="2F3568AE">
            <w:pPr>
              <w:widowControl/>
              <w:jc w:val="center"/>
              <w:textAlignment w:val="center"/>
            </w:pPr>
            <w:r>
              <w:rPr>
                <w:rFonts w:hint="eastAsia" w:ascii="宋体" w:hAnsi="宋体" w:cs="宋体"/>
                <w:b/>
                <w:bCs/>
                <w:kern w:val="0"/>
                <w:szCs w:val="21"/>
              </w:rPr>
              <w:t>学费</w:t>
            </w:r>
          </w:p>
          <w:p w14:paraId="1A083FC3">
            <w:pPr>
              <w:widowControl/>
              <w:jc w:val="center"/>
              <w:textAlignment w:val="center"/>
              <w:rPr>
                <w:rFonts w:hint="eastAsia" w:ascii="宋体" w:hAnsi="宋体" w:cs="宋体"/>
                <w:b/>
                <w:kern w:val="0"/>
                <w:szCs w:val="21"/>
              </w:rPr>
            </w:pPr>
            <w:r>
              <w:rPr>
                <w:rFonts w:hint="eastAsia" w:ascii="宋体" w:hAnsi="宋体" w:cs="宋体"/>
                <w:b/>
                <w:bCs/>
                <w:kern w:val="0"/>
                <w:szCs w:val="21"/>
              </w:rPr>
              <w:t>（元/年）</w:t>
            </w:r>
          </w:p>
        </w:tc>
      </w:tr>
      <w:tr w14:paraId="4EAFD1AC">
        <w:tblPrEx>
          <w:tblCellMar>
            <w:top w:w="0" w:type="dxa"/>
            <w:left w:w="108" w:type="dxa"/>
            <w:bottom w:w="0" w:type="dxa"/>
            <w:right w:w="108" w:type="dxa"/>
          </w:tblCellMar>
        </w:tblPrEx>
        <w:trPr>
          <w:trHeight w:val="425" w:hRule="exact"/>
          <w:jc w:val="center"/>
        </w:trPr>
        <w:tc>
          <w:tcPr>
            <w:tcW w:w="1318" w:type="dxa"/>
            <w:vMerge w:val="restart"/>
            <w:tcBorders>
              <w:top w:val="nil"/>
              <w:left w:val="single" w:color="auto" w:sz="4" w:space="0"/>
              <w:bottom w:val="single" w:color="auto" w:sz="4" w:space="0"/>
              <w:right w:val="single" w:color="auto" w:sz="4" w:space="0"/>
            </w:tcBorders>
            <w:noWrap/>
            <w:vAlign w:val="center"/>
          </w:tcPr>
          <w:p w14:paraId="12F75158">
            <w:pPr>
              <w:widowControl/>
              <w:jc w:val="center"/>
              <w:textAlignment w:val="center"/>
              <w:rPr>
                <w:rFonts w:hint="eastAsia" w:ascii="宋体" w:hAnsi="宋体" w:cs="宋体"/>
                <w:kern w:val="0"/>
                <w:szCs w:val="21"/>
              </w:rPr>
            </w:pPr>
            <w:r>
              <w:rPr>
                <w:rFonts w:hint="eastAsia" w:ascii="宋体" w:hAnsi="宋体" w:cs="宋体"/>
                <w:kern w:val="0"/>
                <w:szCs w:val="21"/>
              </w:rPr>
              <w:t>专业组一</w:t>
            </w:r>
          </w:p>
        </w:tc>
        <w:tc>
          <w:tcPr>
            <w:tcW w:w="4631" w:type="dxa"/>
            <w:tcBorders>
              <w:top w:val="nil"/>
              <w:left w:val="nil"/>
              <w:bottom w:val="single" w:color="auto" w:sz="4" w:space="0"/>
              <w:right w:val="single" w:color="auto" w:sz="4" w:space="0"/>
            </w:tcBorders>
            <w:noWrap/>
            <w:vAlign w:val="center"/>
          </w:tcPr>
          <w:p w14:paraId="53CE966C">
            <w:pPr>
              <w:jc w:val="center"/>
              <w:rPr>
                <w:rFonts w:hint="eastAsia" w:ascii="宋体" w:hAnsi="宋体"/>
                <w:szCs w:val="21"/>
              </w:rPr>
            </w:pPr>
            <w:r>
              <w:rPr>
                <w:rFonts w:hint="eastAsia" w:ascii="宋体" w:hAnsi="宋体"/>
                <w:szCs w:val="21"/>
              </w:rPr>
              <w:t>数字媒体技术</w:t>
            </w:r>
          </w:p>
        </w:tc>
        <w:tc>
          <w:tcPr>
            <w:tcW w:w="1876" w:type="dxa"/>
            <w:tcBorders>
              <w:top w:val="nil"/>
              <w:left w:val="nil"/>
              <w:bottom w:val="single" w:color="auto" w:sz="4" w:space="0"/>
              <w:right w:val="single" w:color="auto" w:sz="4" w:space="0"/>
            </w:tcBorders>
            <w:noWrap/>
            <w:vAlign w:val="center"/>
          </w:tcPr>
          <w:p w14:paraId="7BBE389E">
            <w:pPr>
              <w:widowControl/>
              <w:jc w:val="center"/>
              <w:textAlignment w:val="center"/>
              <w:rPr>
                <w:rFonts w:hint="eastAsia" w:ascii="宋体" w:hAnsi="宋体" w:cs="宋体"/>
                <w:kern w:val="0"/>
                <w:szCs w:val="21"/>
              </w:rPr>
            </w:pPr>
            <w:r>
              <w:rPr>
                <w:rFonts w:hint="eastAsia" w:ascii="宋体" w:hAnsi="宋体" w:cs="宋体"/>
                <w:kern w:val="0"/>
                <w:szCs w:val="21"/>
                <w:lang w:val="en-US" w:eastAsia="zh-CN"/>
              </w:rPr>
              <w:t>5060</w:t>
            </w:r>
            <w:r>
              <w:rPr>
                <w:rFonts w:hint="eastAsia" w:ascii="宋体" w:hAnsi="宋体" w:cs="宋体"/>
                <w:kern w:val="0"/>
                <w:szCs w:val="21"/>
              </w:rPr>
              <w:t xml:space="preserve"> </w:t>
            </w:r>
          </w:p>
        </w:tc>
      </w:tr>
      <w:tr w14:paraId="3F100E29">
        <w:tblPrEx>
          <w:tblCellMar>
            <w:top w:w="0" w:type="dxa"/>
            <w:left w:w="108" w:type="dxa"/>
            <w:bottom w:w="0" w:type="dxa"/>
            <w:right w:w="108" w:type="dxa"/>
          </w:tblCellMar>
        </w:tblPrEx>
        <w:trPr>
          <w:trHeight w:val="425" w:hRule="exact"/>
          <w:jc w:val="center"/>
        </w:trPr>
        <w:tc>
          <w:tcPr>
            <w:tcW w:w="1318" w:type="dxa"/>
            <w:vMerge w:val="continue"/>
            <w:tcBorders>
              <w:top w:val="nil"/>
              <w:left w:val="single" w:color="auto" w:sz="4" w:space="0"/>
              <w:bottom w:val="single" w:color="auto" w:sz="4" w:space="0"/>
              <w:right w:val="single" w:color="auto" w:sz="4" w:space="0"/>
            </w:tcBorders>
            <w:vAlign w:val="center"/>
          </w:tcPr>
          <w:p w14:paraId="2B5510CB">
            <w:pPr>
              <w:jc w:val="center"/>
              <w:rPr>
                <w:rFonts w:hint="eastAsia" w:ascii="宋体" w:hAnsi="宋体" w:cs="宋体"/>
                <w:kern w:val="0"/>
                <w:szCs w:val="21"/>
              </w:rPr>
            </w:pPr>
          </w:p>
        </w:tc>
        <w:tc>
          <w:tcPr>
            <w:tcW w:w="4631" w:type="dxa"/>
            <w:tcBorders>
              <w:top w:val="nil"/>
              <w:left w:val="nil"/>
              <w:bottom w:val="single" w:color="auto" w:sz="4" w:space="0"/>
              <w:right w:val="single" w:color="auto" w:sz="4" w:space="0"/>
            </w:tcBorders>
            <w:noWrap/>
            <w:vAlign w:val="center"/>
          </w:tcPr>
          <w:p w14:paraId="2806623C">
            <w:pPr>
              <w:jc w:val="center"/>
              <w:rPr>
                <w:rFonts w:hint="eastAsia" w:ascii="宋体" w:hAnsi="宋体"/>
                <w:szCs w:val="21"/>
              </w:rPr>
            </w:pPr>
            <w:r>
              <w:rPr>
                <w:rFonts w:hint="eastAsia" w:ascii="宋体" w:hAnsi="宋体"/>
                <w:szCs w:val="21"/>
              </w:rPr>
              <w:t>软件技术</w:t>
            </w:r>
          </w:p>
        </w:tc>
        <w:tc>
          <w:tcPr>
            <w:tcW w:w="1876" w:type="dxa"/>
            <w:tcBorders>
              <w:top w:val="nil"/>
              <w:left w:val="nil"/>
              <w:bottom w:val="single" w:color="auto" w:sz="4" w:space="0"/>
              <w:right w:val="single" w:color="auto" w:sz="4" w:space="0"/>
            </w:tcBorders>
            <w:noWrap/>
            <w:vAlign w:val="center"/>
          </w:tcPr>
          <w:p w14:paraId="3832B784">
            <w:pPr>
              <w:widowControl/>
              <w:jc w:val="center"/>
              <w:textAlignment w:val="center"/>
              <w:rPr>
                <w:rFonts w:hint="eastAsia" w:ascii="宋体" w:hAnsi="宋体"/>
                <w:szCs w:val="21"/>
              </w:rPr>
            </w:pPr>
            <w:r>
              <w:rPr>
                <w:rFonts w:hint="eastAsia" w:ascii="宋体" w:hAnsi="宋体"/>
                <w:szCs w:val="21"/>
              </w:rPr>
              <w:t>7800</w:t>
            </w:r>
          </w:p>
        </w:tc>
      </w:tr>
      <w:tr w14:paraId="3786C6D0">
        <w:tblPrEx>
          <w:tblCellMar>
            <w:top w:w="0" w:type="dxa"/>
            <w:left w:w="108" w:type="dxa"/>
            <w:bottom w:w="0" w:type="dxa"/>
            <w:right w:w="108" w:type="dxa"/>
          </w:tblCellMar>
        </w:tblPrEx>
        <w:trPr>
          <w:trHeight w:val="425" w:hRule="exact"/>
          <w:jc w:val="center"/>
        </w:trPr>
        <w:tc>
          <w:tcPr>
            <w:tcW w:w="1318" w:type="dxa"/>
            <w:vMerge w:val="continue"/>
            <w:tcBorders>
              <w:top w:val="nil"/>
              <w:left w:val="single" w:color="auto" w:sz="4" w:space="0"/>
              <w:bottom w:val="single" w:color="auto" w:sz="4" w:space="0"/>
              <w:right w:val="single" w:color="auto" w:sz="4" w:space="0"/>
            </w:tcBorders>
            <w:vAlign w:val="center"/>
          </w:tcPr>
          <w:p w14:paraId="0AA6CEA2">
            <w:pPr>
              <w:jc w:val="center"/>
              <w:rPr>
                <w:rFonts w:hint="eastAsia" w:ascii="宋体" w:hAnsi="宋体" w:cs="宋体"/>
                <w:kern w:val="0"/>
                <w:szCs w:val="21"/>
              </w:rPr>
            </w:pPr>
          </w:p>
        </w:tc>
        <w:tc>
          <w:tcPr>
            <w:tcW w:w="4631" w:type="dxa"/>
            <w:tcBorders>
              <w:top w:val="nil"/>
              <w:left w:val="nil"/>
              <w:bottom w:val="single" w:color="auto" w:sz="4" w:space="0"/>
              <w:right w:val="single" w:color="auto" w:sz="4" w:space="0"/>
            </w:tcBorders>
            <w:noWrap/>
            <w:vAlign w:val="center"/>
          </w:tcPr>
          <w:p w14:paraId="2A2B1A5F">
            <w:pPr>
              <w:jc w:val="center"/>
              <w:rPr>
                <w:rFonts w:hint="eastAsia" w:ascii="宋体" w:hAnsi="宋体"/>
                <w:szCs w:val="21"/>
              </w:rPr>
            </w:pPr>
            <w:r>
              <w:rPr>
                <w:rFonts w:hint="eastAsia" w:ascii="宋体" w:hAnsi="宋体"/>
                <w:szCs w:val="21"/>
              </w:rPr>
              <w:t>移动应用开发</w:t>
            </w:r>
          </w:p>
        </w:tc>
        <w:tc>
          <w:tcPr>
            <w:tcW w:w="1876" w:type="dxa"/>
            <w:tcBorders>
              <w:top w:val="nil"/>
              <w:left w:val="nil"/>
              <w:bottom w:val="single" w:color="auto" w:sz="4" w:space="0"/>
              <w:right w:val="single" w:color="auto" w:sz="4" w:space="0"/>
            </w:tcBorders>
            <w:noWrap/>
            <w:vAlign w:val="center"/>
          </w:tcPr>
          <w:p w14:paraId="210C7A34">
            <w:pPr>
              <w:widowControl/>
              <w:jc w:val="center"/>
              <w:textAlignment w:val="center"/>
              <w:rPr>
                <w:rFonts w:hint="eastAsia" w:ascii="宋体" w:hAnsi="宋体"/>
                <w:szCs w:val="21"/>
              </w:rPr>
            </w:pPr>
            <w:r>
              <w:rPr>
                <w:rFonts w:hint="eastAsia" w:ascii="宋体" w:hAnsi="宋体"/>
                <w:szCs w:val="21"/>
              </w:rPr>
              <w:t>4600</w:t>
            </w:r>
          </w:p>
        </w:tc>
      </w:tr>
      <w:tr w14:paraId="67529FEC">
        <w:tblPrEx>
          <w:tblCellMar>
            <w:top w:w="0" w:type="dxa"/>
            <w:left w:w="108" w:type="dxa"/>
            <w:bottom w:w="0" w:type="dxa"/>
            <w:right w:w="108" w:type="dxa"/>
          </w:tblCellMar>
        </w:tblPrEx>
        <w:trPr>
          <w:trHeight w:val="425" w:hRule="exact"/>
          <w:jc w:val="center"/>
        </w:trPr>
        <w:tc>
          <w:tcPr>
            <w:tcW w:w="1318" w:type="dxa"/>
            <w:vMerge w:val="continue"/>
            <w:tcBorders>
              <w:top w:val="nil"/>
              <w:left w:val="single" w:color="auto" w:sz="4" w:space="0"/>
              <w:bottom w:val="single" w:color="auto" w:sz="4" w:space="0"/>
              <w:right w:val="single" w:color="auto" w:sz="4" w:space="0"/>
            </w:tcBorders>
            <w:vAlign w:val="center"/>
          </w:tcPr>
          <w:p w14:paraId="411C901F">
            <w:pPr>
              <w:jc w:val="center"/>
              <w:rPr>
                <w:rFonts w:hint="eastAsia" w:ascii="宋体" w:hAnsi="宋体" w:cs="宋体"/>
                <w:kern w:val="0"/>
                <w:szCs w:val="21"/>
              </w:rPr>
            </w:pPr>
          </w:p>
        </w:tc>
        <w:tc>
          <w:tcPr>
            <w:tcW w:w="4631" w:type="dxa"/>
            <w:tcBorders>
              <w:top w:val="nil"/>
              <w:left w:val="nil"/>
              <w:bottom w:val="single" w:color="auto" w:sz="4" w:space="0"/>
              <w:right w:val="single" w:color="auto" w:sz="4" w:space="0"/>
            </w:tcBorders>
            <w:noWrap/>
            <w:vAlign w:val="center"/>
          </w:tcPr>
          <w:p w14:paraId="72B97C97">
            <w:pPr>
              <w:jc w:val="center"/>
              <w:rPr>
                <w:rFonts w:hint="eastAsia" w:ascii="宋体" w:hAnsi="宋体"/>
                <w:szCs w:val="21"/>
              </w:rPr>
            </w:pPr>
            <w:r>
              <w:rPr>
                <w:rFonts w:hint="eastAsia" w:ascii="宋体" w:hAnsi="宋体"/>
                <w:szCs w:val="21"/>
              </w:rPr>
              <w:t>大数据技术</w:t>
            </w:r>
          </w:p>
        </w:tc>
        <w:tc>
          <w:tcPr>
            <w:tcW w:w="1876" w:type="dxa"/>
            <w:tcBorders>
              <w:top w:val="nil"/>
              <w:left w:val="nil"/>
              <w:bottom w:val="single" w:color="auto" w:sz="4" w:space="0"/>
              <w:right w:val="single" w:color="auto" w:sz="4" w:space="0"/>
            </w:tcBorders>
            <w:noWrap/>
            <w:vAlign w:val="center"/>
          </w:tcPr>
          <w:p w14:paraId="28FA45EA">
            <w:pPr>
              <w:widowControl/>
              <w:jc w:val="center"/>
              <w:textAlignment w:val="center"/>
              <w:rPr>
                <w:rFonts w:hint="eastAsia" w:ascii="宋体" w:hAnsi="宋体"/>
                <w:szCs w:val="21"/>
              </w:rPr>
            </w:pPr>
            <w:r>
              <w:rPr>
                <w:rFonts w:hint="eastAsia" w:ascii="宋体" w:hAnsi="宋体"/>
                <w:szCs w:val="21"/>
              </w:rPr>
              <w:t>4600</w:t>
            </w:r>
          </w:p>
        </w:tc>
      </w:tr>
      <w:tr w14:paraId="5EAB5B8D">
        <w:tblPrEx>
          <w:tblCellMar>
            <w:top w:w="0" w:type="dxa"/>
            <w:left w:w="108" w:type="dxa"/>
            <w:bottom w:w="0" w:type="dxa"/>
            <w:right w:w="108" w:type="dxa"/>
          </w:tblCellMar>
        </w:tblPrEx>
        <w:trPr>
          <w:trHeight w:val="425" w:hRule="exact"/>
          <w:jc w:val="center"/>
        </w:trPr>
        <w:tc>
          <w:tcPr>
            <w:tcW w:w="1318" w:type="dxa"/>
            <w:vMerge w:val="continue"/>
            <w:tcBorders>
              <w:top w:val="nil"/>
              <w:left w:val="single" w:color="auto" w:sz="4" w:space="0"/>
              <w:bottom w:val="single" w:color="auto" w:sz="4" w:space="0"/>
              <w:right w:val="single" w:color="auto" w:sz="4" w:space="0"/>
            </w:tcBorders>
            <w:vAlign w:val="center"/>
          </w:tcPr>
          <w:p w14:paraId="27E13926">
            <w:pPr>
              <w:jc w:val="center"/>
              <w:rPr>
                <w:rFonts w:hint="eastAsia" w:ascii="宋体" w:hAnsi="宋体" w:cs="宋体"/>
                <w:kern w:val="0"/>
                <w:szCs w:val="21"/>
              </w:rPr>
            </w:pPr>
          </w:p>
        </w:tc>
        <w:tc>
          <w:tcPr>
            <w:tcW w:w="4631" w:type="dxa"/>
            <w:tcBorders>
              <w:top w:val="nil"/>
              <w:left w:val="nil"/>
              <w:bottom w:val="single" w:color="auto" w:sz="4" w:space="0"/>
              <w:right w:val="single" w:color="auto" w:sz="4" w:space="0"/>
            </w:tcBorders>
            <w:noWrap/>
            <w:vAlign w:val="center"/>
          </w:tcPr>
          <w:p w14:paraId="5893E920">
            <w:pPr>
              <w:jc w:val="center"/>
              <w:rPr>
                <w:rFonts w:hint="eastAsia" w:ascii="宋体" w:hAnsi="宋体"/>
                <w:szCs w:val="21"/>
              </w:rPr>
            </w:pPr>
            <w:r>
              <w:rPr>
                <w:rFonts w:hint="eastAsia" w:ascii="宋体" w:hAnsi="宋体"/>
                <w:szCs w:val="21"/>
              </w:rPr>
              <w:t>艺术设计</w:t>
            </w:r>
          </w:p>
        </w:tc>
        <w:tc>
          <w:tcPr>
            <w:tcW w:w="1876" w:type="dxa"/>
            <w:tcBorders>
              <w:top w:val="nil"/>
              <w:left w:val="nil"/>
              <w:bottom w:val="single" w:color="auto" w:sz="4" w:space="0"/>
              <w:right w:val="single" w:color="auto" w:sz="4" w:space="0"/>
            </w:tcBorders>
            <w:noWrap/>
            <w:vAlign w:val="center"/>
          </w:tcPr>
          <w:p w14:paraId="5451BFB9">
            <w:pPr>
              <w:widowControl/>
              <w:jc w:val="center"/>
              <w:textAlignment w:val="center"/>
              <w:rPr>
                <w:rFonts w:hint="eastAsia" w:ascii="宋体" w:hAnsi="宋体"/>
                <w:szCs w:val="21"/>
              </w:rPr>
            </w:pPr>
            <w:r>
              <w:rPr>
                <w:rFonts w:hint="eastAsia" w:ascii="宋体" w:hAnsi="宋体"/>
                <w:szCs w:val="21"/>
              </w:rPr>
              <w:t>7500</w:t>
            </w:r>
          </w:p>
        </w:tc>
      </w:tr>
      <w:tr w14:paraId="72AE9702">
        <w:tblPrEx>
          <w:tblCellMar>
            <w:top w:w="0" w:type="dxa"/>
            <w:left w:w="108" w:type="dxa"/>
            <w:bottom w:w="0" w:type="dxa"/>
            <w:right w:w="108" w:type="dxa"/>
          </w:tblCellMar>
        </w:tblPrEx>
        <w:trPr>
          <w:trHeight w:val="425" w:hRule="exact"/>
          <w:jc w:val="center"/>
        </w:trPr>
        <w:tc>
          <w:tcPr>
            <w:tcW w:w="1318" w:type="dxa"/>
            <w:vMerge w:val="restart"/>
            <w:tcBorders>
              <w:top w:val="single" w:color="auto" w:sz="4" w:space="0"/>
              <w:left w:val="single" w:color="auto" w:sz="4" w:space="0"/>
              <w:right w:val="single" w:color="auto" w:sz="4" w:space="0"/>
            </w:tcBorders>
            <w:vAlign w:val="center"/>
          </w:tcPr>
          <w:p w14:paraId="61D28BEF">
            <w:pPr>
              <w:jc w:val="center"/>
              <w:rPr>
                <w:rFonts w:hint="eastAsia" w:ascii="宋体" w:hAnsi="宋体" w:cs="宋体"/>
                <w:kern w:val="0"/>
                <w:szCs w:val="21"/>
              </w:rPr>
            </w:pPr>
            <w:r>
              <w:rPr>
                <w:rFonts w:hint="eastAsia" w:ascii="宋体" w:hAnsi="宋体" w:cs="宋体"/>
                <w:kern w:val="0"/>
                <w:szCs w:val="21"/>
              </w:rPr>
              <w:t>专业组二</w:t>
            </w:r>
          </w:p>
        </w:tc>
        <w:tc>
          <w:tcPr>
            <w:tcW w:w="4631" w:type="dxa"/>
            <w:tcBorders>
              <w:top w:val="single" w:color="auto" w:sz="4" w:space="0"/>
              <w:left w:val="nil"/>
              <w:bottom w:val="single" w:color="auto" w:sz="4" w:space="0"/>
              <w:right w:val="single" w:color="auto" w:sz="4" w:space="0"/>
            </w:tcBorders>
            <w:noWrap/>
            <w:vAlign w:val="center"/>
          </w:tcPr>
          <w:p w14:paraId="00B3FF99">
            <w:pPr>
              <w:jc w:val="center"/>
              <w:rPr>
                <w:rFonts w:hint="eastAsia" w:ascii="宋体" w:hAnsi="宋体"/>
                <w:szCs w:val="21"/>
              </w:rPr>
            </w:pPr>
            <w:r>
              <w:rPr>
                <w:rFonts w:hint="eastAsia" w:ascii="宋体" w:hAnsi="宋体"/>
                <w:szCs w:val="21"/>
              </w:rPr>
              <w:t>计算机网络技术</w:t>
            </w:r>
          </w:p>
        </w:tc>
        <w:tc>
          <w:tcPr>
            <w:tcW w:w="1876" w:type="dxa"/>
            <w:tcBorders>
              <w:top w:val="nil"/>
              <w:left w:val="nil"/>
              <w:bottom w:val="single" w:color="auto" w:sz="4" w:space="0"/>
              <w:right w:val="single" w:color="auto" w:sz="4" w:space="0"/>
            </w:tcBorders>
            <w:noWrap/>
            <w:vAlign w:val="center"/>
          </w:tcPr>
          <w:p w14:paraId="79621286">
            <w:pPr>
              <w:widowControl/>
              <w:jc w:val="center"/>
              <w:textAlignment w:val="center"/>
              <w:rPr>
                <w:rFonts w:hint="eastAsia" w:ascii="宋体" w:hAnsi="宋体"/>
                <w:szCs w:val="21"/>
              </w:rPr>
            </w:pPr>
            <w:r>
              <w:rPr>
                <w:rFonts w:hint="eastAsia" w:ascii="宋体" w:hAnsi="宋体"/>
                <w:szCs w:val="21"/>
              </w:rPr>
              <w:t>7800</w:t>
            </w:r>
          </w:p>
        </w:tc>
      </w:tr>
      <w:tr w14:paraId="09F3E78C">
        <w:tblPrEx>
          <w:tblCellMar>
            <w:top w:w="0" w:type="dxa"/>
            <w:left w:w="108" w:type="dxa"/>
            <w:bottom w:w="0" w:type="dxa"/>
            <w:right w:w="108" w:type="dxa"/>
          </w:tblCellMar>
        </w:tblPrEx>
        <w:trPr>
          <w:trHeight w:val="425" w:hRule="exact"/>
          <w:jc w:val="center"/>
        </w:trPr>
        <w:tc>
          <w:tcPr>
            <w:tcW w:w="1318" w:type="dxa"/>
            <w:vMerge w:val="continue"/>
            <w:tcBorders>
              <w:top w:val="nil"/>
              <w:left w:val="single" w:color="auto" w:sz="4" w:space="0"/>
              <w:bottom w:val="single" w:color="auto" w:sz="4" w:space="0"/>
              <w:right w:val="single" w:color="auto" w:sz="4" w:space="0"/>
            </w:tcBorders>
            <w:vAlign w:val="center"/>
          </w:tcPr>
          <w:p w14:paraId="68E24CE7">
            <w:pPr>
              <w:jc w:val="center"/>
              <w:rPr>
                <w:rFonts w:hint="eastAsia" w:ascii="宋体" w:hAnsi="宋体" w:cs="宋体"/>
                <w:kern w:val="0"/>
                <w:szCs w:val="21"/>
              </w:rPr>
            </w:pPr>
          </w:p>
        </w:tc>
        <w:tc>
          <w:tcPr>
            <w:tcW w:w="4631" w:type="dxa"/>
            <w:tcBorders>
              <w:top w:val="nil"/>
              <w:left w:val="nil"/>
              <w:bottom w:val="single" w:color="auto" w:sz="4" w:space="0"/>
              <w:right w:val="single" w:color="auto" w:sz="4" w:space="0"/>
            </w:tcBorders>
            <w:noWrap/>
            <w:vAlign w:val="center"/>
          </w:tcPr>
          <w:p w14:paraId="26C017BF">
            <w:pPr>
              <w:jc w:val="center"/>
              <w:rPr>
                <w:rFonts w:hint="eastAsia" w:ascii="宋体" w:hAnsi="宋体"/>
                <w:szCs w:val="21"/>
              </w:rPr>
            </w:pPr>
            <w:r>
              <w:rPr>
                <w:rFonts w:hint="eastAsia" w:ascii="宋体" w:hAnsi="宋体"/>
                <w:szCs w:val="21"/>
              </w:rPr>
              <w:t>物联网应用技术</w:t>
            </w:r>
          </w:p>
        </w:tc>
        <w:tc>
          <w:tcPr>
            <w:tcW w:w="1876" w:type="dxa"/>
            <w:tcBorders>
              <w:top w:val="nil"/>
              <w:left w:val="nil"/>
              <w:bottom w:val="single" w:color="auto" w:sz="4" w:space="0"/>
              <w:right w:val="single" w:color="auto" w:sz="4" w:space="0"/>
            </w:tcBorders>
            <w:noWrap/>
            <w:vAlign w:val="center"/>
          </w:tcPr>
          <w:p w14:paraId="43081414">
            <w:pPr>
              <w:widowControl/>
              <w:jc w:val="center"/>
              <w:textAlignment w:val="center"/>
              <w:rPr>
                <w:rFonts w:hint="eastAsia" w:ascii="宋体" w:hAnsi="宋体"/>
                <w:szCs w:val="21"/>
              </w:rPr>
            </w:pPr>
            <w:r>
              <w:rPr>
                <w:rFonts w:hint="eastAsia" w:ascii="宋体" w:hAnsi="宋体"/>
                <w:szCs w:val="21"/>
              </w:rPr>
              <w:t>4600</w:t>
            </w:r>
          </w:p>
        </w:tc>
      </w:tr>
      <w:tr w14:paraId="138784F4">
        <w:tblPrEx>
          <w:tblCellMar>
            <w:top w:w="0" w:type="dxa"/>
            <w:left w:w="108" w:type="dxa"/>
            <w:bottom w:w="0" w:type="dxa"/>
            <w:right w:w="108" w:type="dxa"/>
          </w:tblCellMar>
        </w:tblPrEx>
        <w:trPr>
          <w:trHeight w:val="425" w:hRule="exact"/>
          <w:jc w:val="center"/>
        </w:trPr>
        <w:tc>
          <w:tcPr>
            <w:tcW w:w="1318" w:type="dxa"/>
            <w:vMerge w:val="continue"/>
            <w:tcBorders>
              <w:top w:val="nil"/>
              <w:left w:val="single" w:color="auto" w:sz="4" w:space="0"/>
              <w:bottom w:val="single" w:color="auto" w:sz="4" w:space="0"/>
              <w:right w:val="single" w:color="auto" w:sz="4" w:space="0"/>
            </w:tcBorders>
            <w:vAlign w:val="center"/>
          </w:tcPr>
          <w:p w14:paraId="705F32FC">
            <w:pPr>
              <w:jc w:val="center"/>
              <w:rPr>
                <w:rFonts w:hint="eastAsia" w:ascii="宋体" w:hAnsi="宋体" w:cs="宋体"/>
                <w:kern w:val="0"/>
                <w:szCs w:val="21"/>
              </w:rPr>
            </w:pPr>
          </w:p>
        </w:tc>
        <w:tc>
          <w:tcPr>
            <w:tcW w:w="4631" w:type="dxa"/>
            <w:tcBorders>
              <w:top w:val="nil"/>
              <w:left w:val="nil"/>
              <w:bottom w:val="single" w:color="auto" w:sz="4" w:space="0"/>
              <w:right w:val="single" w:color="auto" w:sz="4" w:space="0"/>
            </w:tcBorders>
            <w:noWrap/>
            <w:vAlign w:val="center"/>
          </w:tcPr>
          <w:p w14:paraId="686B4612">
            <w:pPr>
              <w:jc w:val="center"/>
              <w:rPr>
                <w:rFonts w:hint="eastAsia" w:ascii="宋体" w:hAnsi="宋体"/>
                <w:szCs w:val="21"/>
              </w:rPr>
            </w:pPr>
            <w:r>
              <w:rPr>
                <w:rFonts w:hint="eastAsia" w:ascii="宋体" w:hAnsi="宋体"/>
                <w:szCs w:val="21"/>
              </w:rPr>
              <w:t>工业机器人技术</w:t>
            </w:r>
          </w:p>
        </w:tc>
        <w:tc>
          <w:tcPr>
            <w:tcW w:w="1876" w:type="dxa"/>
            <w:tcBorders>
              <w:top w:val="nil"/>
              <w:left w:val="nil"/>
              <w:bottom w:val="single" w:color="auto" w:sz="4" w:space="0"/>
              <w:right w:val="single" w:color="auto" w:sz="4" w:space="0"/>
            </w:tcBorders>
            <w:noWrap/>
            <w:vAlign w:val="center"/>
          </w:tcPr>
          <w:p w14:paraId="00BD85D3">
            <w:pPr>
              <w:widowControl/>
              <w:jc w:val="center"/>
              <w:textAlignment w:val="center"/>
              <w:rPr>
                <w:rFonts w:hint="eastAsia" w:ascii="宋体" w:hAnsi="宋体"/>
                <w:szCs w:val="21"/>
              </w:rPr>
            </w:pPr>
            <w:r>
              <w:rPr>
                <w:rFonts w:hint="eastAsia" w:ascii="宋体" w:hAnsi="宋体"/>
                <w:szCs w:val="21"/>
              </w:rPr>
              <w:t>4600</w:t>
            </w:r>
          </w:p>
        </w:tc>
      </w:tr>
      <w:tr w14:paraId="05935CB5">
        <w:tblPrEx>
          <w:tblCellMar>
            <w:top w:w="0" w:type="dxa"/>
            <w:left w:w="108" w:type="dxa"/>
            <w:bottom w:w="0" w:type="dxa"/>
            <w:right w:w="108" w:type="dxa"/>
          </w:tblCellMar>
        </w:tblPrEx>
        <w:trPr>
          <w:trHeight w:val="425" w:hRule="exact"/>
          <w:jc w:val="center"/>
        </w:trPr>
        <w:tc>
          <w:tcPr>
            <w:tcW w:w="1318" w:type="dxa"/>
            <w:vMerge w:val="continue"/>
            <w:tcBorders>
              <w:top w:val="nil"/>
              <w:left w:val="single" w:color="auto" w:sz="4" w:space="0"/>
              <w:bottom w:val="single" w:color="auto" w:sz="4" w:space="0"/>
              <w:right w:val="single" w:color="auto" w:sz="4" w:space="0"/>
            </w:tcBorders>
            <w:vAlign w:val="center"/>
          </w:tcPr>
          <w:p w14:paraId="2945F65A">
            <w:pPr>
              <w:jc w:val="center"/>
              <w:rPr>
                <w:rFonts w:hint="eastAsia" w:ascii="宋体" w:hAnsi="宋体" w:cs="宋体"/>
                <w:kern w:val="0"/>
                <w:szCs w:val="21"/>
              </w:rPr>
            </w:pPr>
          </w:p>
        </w:tc>
        <w:tc>
          <w:tcPr>
            <w:tcW w:w="4631" w:type="dxa"/>
            <w:tcBorders>
              <w:top w:val="nil"/>
              <w:left w:val="nil"/>
              <w:bottom w:val="single" w:color="auto" w:sz="4" w:space="0"/>
              <w:right w:val="single" w:color="auto" w:sz="4" w:space="0"/>
            </w:tcBorders>
            <w:noWrap/>
            <w:vAlign w:val="center"/>
          </w:tcPr>
          <w:p w14:paraId="591B2918">
            <w:pPr>
              <w:jc w:val="center"/>
              <w:rPr>
                <w:rFonts w:hint="eastAsia" w:ascii="宋体" w:hAnsi="宋体"/>
                <w:szCs w:val="21"/>
              </w:rPr>
            </w:pPr>
            <w:r>
              <w:rPr>
                <w:rFonts w:hint="eastAsia" w:ascii="宋体" w:hAnsi="宋体"/>
                <w:szCs w:val="21"/>
              </w:rPr>
              <w:t>数控技术</w:t>
            </w:r>
          </w:p>
        </w:tc>
        <w:tc>
          <w:tcPr>
            <w:tcW w:w="1876" w:type="dxa"/>
            <w:tcBorders>
              <w:top w:val="nil"/>
              <w:left w:val="nil"/>
              <w:bottom w:val="single" w:color="auto" w:sz="4" w:space="0"/>
              <w:right w:val="single" w:color="auto" w:sz="4" w:space="0"/>
            </w:tcBorders>
            <w:noWrap/>
            <w:vAlign w:val="center"/>
          </w:tcPr>
          <w:p w14:paraId="7651AB19">
            <w:pPr>
              <w:widowControl/>
              <w:jc w:val="center"/>
              <w:textAlignment w:val="center"/>
              <w:rPr>
                <w:rFonts w:hint="eastAsia" w:ascii="宋体" w:hAnsi="宋体"/>
                <w:szCs w:val="21"/>
              </w:rPr>
            </w:pPr>
            <w:r>
              <w:rPr>
                <w:rFonts w:hint="eastAsia" w:ascii="宋体" w:hAnsi="宋体"/>
                <w:szCs w:val="21"/>
                <w:lang w:val="en-US" w:eastAsia="zh-CN"/>
              </w:rPr>
              <w:t>5060</w:t>
            </w:r>
          </w:p>
        </w:tc>
      </w:tr>
      <w:tr w14:paraId="0BEFC36A">
        <w:tblPrEx>
          <w:tblCellMar>
            <w:top w:w="0" w:type="dxa"/>
            <w:left w:w="108" w:type="dxa"/>
            <w:bottom w:w="0" w:type="dxa"/>
            <w:right w:w="108" w:type="dxa"/>
          </w:tblCellMar>
        </w:tblPrEx>
        <w:trPr>
          <w:trHeight w:val="425" w:hRule="exact"/>
          <w:jc w:val="center"/>
        </w:trPr>
        <w:tc>
          <w:tcPr>
            <w:tcW w:w="1318" w:type="dxa"/>
            <w:vMerge w:val="continue"/>
            <w:tcBorders>
              <w:top w:val="nil"/>
              <w:left w:val="single" w:color="auto" w:sz="4" w:space="0"/>
              <w:bottom w:val="single" w:color="auto" w:sz="4" w:space="0"/>
              <w:right w:val="single" w:color="auto" w:sz="4" w:space="0"/>
            </w:tcBorders>
            <w:vAlign w:val="center"/>
          </w:tcPr>
          <w:p w14:paraId="6ADEC83E">
            <w:pPr>
              <w:jc w:val="center"/>
              <w:rPr>
                <w:rFonts w:hint="eastAsia" w:ascii="宋体" w:hAnsi="宋体" w:cs="宋体"/>
                <w:kern w:val="0"/>
                <w:szCs w:val="21"/>
              </w:rPr>
            </w:pPr>
          </w:p>
        </w:tc>
        <w:tc>
          <w:tcPr>
            <w:tcW w:w="4631" w:type="dxa"/>
            <w:tcBorders>
              <w:top w:val="nil"/>
              <w:left w:val="nil"/>
              <w:bottom w:val="single" w:color="auto" w:sz="4" w:space="0"/>
              <w:right w:val="single" w:color="auto" w:sz="4" w:space="0"/>
            </w:tcBorders>
            <w:noWrap/>
            <w:vAlign w:val="center"/>
          </w:tcPr>
          <w:p w14:paraId="663789FB">
            <w:pPr>
              <w:jc w:val="center"/>
              <w:rPr>
                <w:rFonts w:hint="eastAsia" w:ascii="宋体" w:hAnsi="宋体"/>
                <w:szCs w:val="21"/>
              </w:rPr>
            </w:pPr>
            <w:r>
              <w:rPr>
                <w:rFonts w:hint="eastAsia" w:ascii="宋体" w:hAnsi="宋体"/>
                <w:szCs w:val="21"/>
              </w:rPr>
              <w:t>机电一体化技术</w:t>
            </w:r>
          </w:p>
        </w:tc>
        <w:tc>
          <w:tcPr>
            <w:tcW w:w="1876" w:type="dxa"/>
            <w:tcBorders>
              <w:top w:val="nil"/>
              <w:left w:val="nil"/>
              <w:bottom w:val="single" w:color="auto" w:sz="4" w:space="0"/>
              <w:right w:val="single" w:color="auto" w:sz="4" w:space="0"/>
            </w:tcBorders>
            <w:noWrap/>
            <w:vAlign w:val="center"/>
          </w:tcPr>
          <w:p w14:paraId="762FA77B">
            <w:pPr>
              <w:widowControl/>
              <w:jc w:val="center"/>
              <w:textAlignment w:val="center"/>
              <w:rPr>
                <w:rFonts w:hint="eastAsia" w:ascii="宋体" w:hAnsi="宋体"/>
                <w:szCs w:val="21"/>
              </w:rPr>
            </w:pPr>
            <w:r>
              <w:rPr>
                <w:rFonts w:hint="eastAsia" w:ascii="宋体" w:hAnsi="宋体"/>
                <w:szCs w:val="21"/>
              </w:rPr>
              <w:t>4600</w:t>
            </w:r>
          </w:p>
        </w:tc>
      </w:tr>
      <w:tr w14:paraId="59C6F2DD">
        <w:tblPrEx>
          <w:tblCellMar>
            <w:top w:w="0" w:type="dxa"/>
            <w:left w:w="108" w:type="dxa"/>
            <w:bottom w:w="0" w:type="dxa"/>
            <w:right w:w="108" w:type="dxa"/>
          </w:tblCellMar>
        </w:tblPrEx>
        <w:trPr>
          <w:trHeight w:val="425" w:hRule="exact"/>
          <w:jc w:val="center"/>
        </w:trPr>
        <w:tc>
          <w:tcPr>
            <w:tcW w:w="1318" w:type="dxa"/>
            <w:vMerge w:val="restart"/>
            <w:tcBorders>
              <w:top w:val="single" w:color="auto" w:sz="4" w:space="0"/>
              <w:left w:val="single" w:color="auto" w:sz="4" w:space="0"/>
              <w:right w:val="single" w:color="auto" w:sz="4" w:space="0"/>
            </w:tcBorders>
            <w:noWrap/>
            <w:vAlign w:val="center"/>
          </w:tcPr>
          <w:p w14:paraId="09E17D78">
            <w:pPr>
              <w:widowControl/>
              <w:jc w:val="center"/>
              <w:textAlignment w:val="center"/>
              <w:rPr>
                <w:rFonts w:hint="eastAsia" w:ascii="宋体" w:hAnsi="宋体" w:cs="宋体"/>
                <w:kern w:val="0"/>
                <w:szCs w:val="21"/>
              </w:rPr>
            </w:pPr>
            <w:r>
              <w:rPr>
                <w:rFonts w:hint="eastAsia" w:ascii="宋体" w:hAnsi="宋体" w:cs="宋体"/>
                <w:kern w:val="0"/>
                <w:szCs w:val="21"/>
              </w:rPr>
              <w:t>专业组三</w:t>
            </w:r>
          </w:p>
        </w:tc>
        <w:tc>
          <w:tcPr>
            <w:tcW w:w="4631" w:type="dxa"/>
            <w:tcBorders>
              <w:top w:val="single" w:color="auto" w:sz="4" w:space="0"/>
              <w:left w:val="single" w:color="auto" w:sz="4" w:space="0"/>
              <w:bottom w:val="single" w:color="auto" w:sz="4" w:space="0"/>
              <w:right w:val="single" w:color="auto" w:sz="4" w:space="0"/>
            </w:tcBorders>
            <w:noWrap/>
            <w:vAlign w:val="center"/>
          </w:tcPr>
          <w:p w14:paraId="15396E64">
            <w:pPr>
              <w:jc w:val="center"/>
              <w:rPr>
                <w:rFonts w:hint="eastAsia" w:ascii="宋体" w:hAnsi="宋体" w:cs="宋体"/>
                <w:szCs w:val="21"/>
              </w:rPr>
            </w:pPr>
            <w:r>
              <w:rPr>
                <w:rFonts w:hint="eastAsia" w:ascii="宋体" w:hAnsi="宋体" w:cs="宋体"/>
                <w:szCs w:val="21"/>
              </w:rPr>
              <w:t>工商企业管理</w:t>
            </w:r>
          </w:p>
        </w:tc>
        <w:tc>
          <w:tcPr>
            <w:tcW w:w="1876" w:type="dxa"/>
            <w:tcBorders>
              <w:top w:val="single" w:color="auto" w:sz="4" w:space="0"/>
              <w:left w:val="single" w:color="auto" w:sz="4" w:space="0"/>
              <w:bottom w:val="single" w:color="auto" w:sz="4" w:space="0"/>
              <w:right w:val="single" w:color="auto" w:sz="4" w:space="0"/>
            </w:tcBorders>
            <w:noWrap/>
            <w:vAlign w:val="center"/>
          </w:tcPr>
          <w:p w14:paraId="3996D19C">
            <w:pPr>
              <w:widowControl/>
              <w:jc w:val="center"/>
              <w:textAlignment w:val="center"/>
              <w:rPr>
                <w:rFonts w:hint="eastAsia" w:ascii="宋体" w:hAnsi="宋体"/>
                <w:szCs w:val="21"/>
              </w:rPr>
            </w:pPr>
            <w:r>
              <w:rPr>
                <w:rFonts w:hint="eastAsia" w:ascii="宋体" w:hAnsi="宋体"/>
                <w:szCs w:val="21"/>
              </w:rPr>
              <w:t>3500</w:t>
            </w:r>
          </w:p>
        </w:tc>
      </w:tr>
      <w:tr w14:paraId="37746979">
        <w:tblPrEx>
          <w:tblCellMar>
            <w:top w:w="0" w:type="dxa"/>
            <w:left w:w="108" w:type="dxa"/>
            <w:bottom w:w="0" w:type="dxa"/>
            <w:right w:w="108" w:type="dxa"/>
          </w:tblCellMar>
        </w:tblPrEx>
        <w:trPr>
          <w:trHeight w:val="425" w:hRule="exact"/>
          <w:jc w:val="center"/>
        </w:trPr>
        <w:tc>
          <w:tcPr>
            <w:tcW w:w="1318" w:type="dxa"/>
            <w:vMerge w:val="continue"/>
            <w:tcBorders>
              <w:left w:val="single" w:color="auto" w:sz="4" w:space="0"/>
              <w:right w:val="single" w:color="auto" w:sz="4" w:space="0"/>
            </w:tcBorders>
            <w:vAlign w:val="center"/>
          </w:tcPr>
          <w:p w14:paraId="5B7A9200">
            <w:pPr>
              <w:jc w:val="center"/>
              <w:rPr>
                <w:rFonts w:hint="eastAsia" w:ascii="宋体" w:hAnsi="宋体" w:cs="宋体"/>
                <w:kern w:val="0"/>
                <w:szCs w:val="21"/>
              </w:rPr>
            </w:pPr>
          </w:p>
        </w:tc>
        <w:tc>
          <w:tcPr>
            <w:tcW w:w="4631" w:type="dxa"/>
            <w:tcBorders>
              <w:top w:val="single" w:color="auto" w:sz="4" w:space="0"/>
              <w:left w:val="single" w:color="auto" w:sz="4" w:space="0"/>
              <w:bottom w:val="single" w:color="auto" w:sz="4" w:space="0"/>
              <w:right w:val="single" w:color="auto" w:sz="4" w:space="0"/>
            </w:tcBorders>
            <w:noWrap/>
            <w:vAlign w:val="center"/>
          </w:tcPr>
          <w:p w14:paraId="1FDF4258">
            <w:pPr>
              <w:jc w:val="center"/>
              <w:rPr>
                <w:rFonts w:hint="eastAsia" w:ascii="宋体" w:hAnsi="宋体" w:cs="宋体"/>
                <w:szCs w:val="21"/>
              </w:rPr>
            </w:pPr>
            <w:r>
              <w:rPr>
                <w:rFonts w:hint="eastAsia" w:ascii="宋体" w:hAnsi="宋体" w:cs="宋体"/>
                <w:szCs w:val="21"/>
              </w:rPr>
              <w:t>电子商务</w:t>
            </w:r>
          </w:p>
        </w:tc>
        <w:tc>
          <w:tcPr>
            <w:tcW w:w="1876" w:type="dxa"/>
            <w:tcBorders>
              <w:top w:val="single" w:color="auto" w:sz="4" w:space="0"/>
              <w:left w:val="single" w:color="auto" w:sz="4" w:space="0"/>
              <w:bottom w:val="single" w:color="auto" w:sz="4" w:space="0"/>
              <w:right w:val="single" w:color="auto" w:sz="4" w:space="0"/>
            </w:tcBorders>
            <w:noWrap/>
            <w:vAlign w:val="center"/>
          </w:tcPr>
          <w:p w14:paraId="1A731909">
            <w:pPr>
              <w:widowControl/>
              <w:jc w:val="center"/>
              <w:textAlignment w:val="center"/>
              <w:rPr>
                <w:rFonts w:hint="eastAsia" w:ascii="宋体" w:hAnsi="宋体"/>
                <w:szCs w:val="21"/>
              </w:rPr>
            </w:pPr>
            <w:r>
              <w:rPr>
                <w:rFonts w:hint="eastAsia" w:ascii="宋体" w:hAnsi="宋体"/>
                <w:szCs w:val="21"/>
              </w:rPr>
              <w:t>3500</w:t>
            </w:r>
          </w:p>
        </w:tc>
      </w:tr>
      <w:tr w14:paraId="378D7E94">
        <w:tblPrEx>
          <w:tblCellMar>
            <w:top w:w="0" w:type="dxa"/>
            <w:left w:w="108" w:type="dxa"/>
            <w:bottom w:w="0" w:type="dxa"/>
            <w:right w:w="108" w:type="dxa"/>
          </w:tblCellMar>
        </w:tblPrEx>
        <w:trPr>
          <w:trHeight w:val="425" w:hRule="exact"/>
          <w:jc w:val="center"/>
        </w:trPr>
        <w:tc>
          <w:tcPr>
            <w:tcW w:w="1318" w:type="dxa"/>
            <w:vMerge w:val="continue"/>
            <w:tcBorders>
              <w:left w:val="single" w:color="auto" w:sz="4" w:space="0"/>
              <w:right w:val="single" w:color="auto" w:sz="4" w:space="0"/>
            </w:tcBorders>
            <w:vAlign w:val="center"/>
          </w:tcPr>
          <w:p w14:paraId="477DCE5B">
            <w:pPr>
              <w:jc w:val="center"/>
              <w:rPr>
                <w:rFonts w:hint="eastAsia" w:ascii="宋体" w:hAnsi="宋体" w:cs="宋体"/>
                <w:kern w:val="0"/>
                <w:szCs w:val="21"/>
              </w:rPr>
            </w:pPr>
          </w:p>
        </w:tc>
        <w:tc>
          <w:tcPr>
            <w:tcW w:w="4631" w:type="dxa"/>
            <w:tcBorders>
              <w:top w:val="single" w:color="auto" w:sz="4" w:space="0"/>
              <w:left w:val="single" w:color="auto" w:sz="4" w:space="0"/>
              <w:bottom w:val="single" w:color="auto" w:sz="4" w:space="0"/>
              <w:right w:val="single" w:color="auto" w:sz="4" w:space="0"/>
            </w:tcBorders>
            <w:noWrap/>
            <w:vAlign w:val="center"/>
          </w:tcPr>
          <w:p w14:paraId="636E9B39">
            <w:pPr>
              <w:jc w:val="center"/>
              <w:rPr>
                <w:rFonts w:hint="eastAsia" w:ascii="宋体" w:hAnsi="宋体" w:cs="宋体"/>
                <w:szCs w:val="21"/>
              </w:rPr>
            </w:pPr>
            <w:r>
              <w:rPr>
                <w:rFonts w:hint="eastAsia" w:ascii="宋体" w:hAnsi="宋体" w:cs="宋体"/>
                <w:szCs w:val="21"/>
              </w:rPr>
              <w:t>大数据与会计</w:t>
            </w:r>
          </w:p>
        </w:tc>
        <w:tc>
          <w:tcPr>
            <w:tcW w:w="1876" w:type="dxa"/>
            <w:tcBorders>
              <w:top w:val="single" w:color="auto" w:sz="4" w:space="0"/>
              <w:left w:val="single" w:color="auto" w:sz="4" w:space="0"/>
              <w:bottom w:val="single" w:color="auto" w:sz="4" w:space="0"/>
              <w:right w:val="single" w:color="auto" w:sz="4" w:space="0"/>
            </w:tcBorders>
            <w:noWrap/>
            <w:vAlign w:val="center"/>
          </w:tcPr>
          <w:p w14:paraId="4E0AA5D5">
            <w:pPr>
              <w:widowControl/>
              <w:jc w:val="center"/>
              <w:textAlignment w:val="center"/>
              <w:rPr>
                <w:rFonts w:hint="eastAsia" w:ascii="宋体" w:hAnsi="宋体"/>
                <w:szCs w:val="21"/>
              </w:rPr>
            </w:pPr>
            <w:r>
              <w:rPr>
                <w:rFonts w:hint="eastAsia" w:ascii="宋体" w:hAnsi="宋体"/>
                <w:szCs w:val="21"/>
              </w:rPr>
              <w:t>3500</w:t>
            </w:r>
          </w:p>
        </w:tc>
      </w:tr>
      <w:tr w14:paraId="623B2A0A">
        <w:tblPrEx>
          <w:tblCellMar>
            <w:top w:w="0" w:type="dxa"/>
            <w:left w:w="108" w:type="dxa"/>
            <w:bottom w:w="0" w:type="dxa"/>
            <w:right w:w="108" w:type="dxa"/>
          </w:tblCellMar>
        </w:tblPrEx>
        <w:trPr>
          <w:trHeight w:val="425" w:hRule="exact"/>
          <w:jc w:val="center"/>
        </w:trPr>
        <w:tc>
          <w:tcPr>
            <w:tcW w:w="1318" w:type="dxa"/>
            <w:vMerge w:val="continue"/>
            <w:tcBorders>
              <w:left w:val="single" w:color="auto" w:sz="4" w:space="0"/>
              <w:right w:val="single" w:color="auto" w:sz="4" w:space="0"/>
            </w:tcBorders>
            <w:vAlign w:val="center"/>
          </w:tcPr>
          <w:p w14:paraId="587056DB">
            <w:pPr>
              <w:jc w:val="center"/>
              <w:rPr>
                <w:rFonts w:hint="eastAsia" w:ascii="宋体" w:hAnsi="宋体" w:cs="宋体"/>
                <w:kern w:val="0"/>
                <w:szCs w:val="21"/>
              </w:rPr>
            </w:pPr>
          </w:p>
        </w:tc>
        <w:tc>
          <w:tcPr>
            <w:tcW w:w="4631" w:type="dxa"/>
            <w:tcBorders>
              <w:top w:val="single" w:color="auto" w:sz="4" w:space="0"/>
              <w:left w:val="single" w:color="auto" w:sz="4" w:space="0"/>
              <w:bottom w:val="single" w:color="auto" w:sz="4" w:space="0"/>
              <w:right w:val="single" w:color="auto" w:sz="4" w:space="0"/>
            </w:tcBorders>
            <w:noWrap/>
            <w:vAlign w:val="center"/>
          </w:tcPr>
          <w:p w14:paraId="247FBC07">
            <w:pPr>
              <w:jc w:val="center"/>
              <w:rPr>
                <w:rFonts w:hint="eastAsia" w:ascii="宋体" w:hAnsi="宋体" w:cs="宋体"/>
                <w:szCs w:val="21"/>
              </w:rPr>
            </w:pPr>
            <w:r>
              <w:rPr>
                <w:rFonts w:hint="eastAsia" w:ascii="宋体" w:hAnsi="宋体" w:cs="宋体"/>
                <w:szCs w:val="21"/>
              </w:rPr>
              <w:t>金融服务与管理</w:t>
            </w:r>
          </w:p>
        </w:tc>
        <w:tc>
          <w:tcPr>
            <w:tcW w:w="1876" w:type="dxa"/>
            <w:tcBorders>
              <w:top w:val="single" w:color="auto" w:sz="4" w:space="0"/>
              <w:left w:val="nil"/>
              <w:bottom w:val="single" w:color="auto" w:sz="4" w:space="0"/>
              <w:right w:val="single" w:color="auto" w:sz="4" w:space="0"/>
            </w:tcBorders>
            <w:noWrap/>
            <w:vAlign w:val="center"/>
          </w:tcPr>
          <w:p w14:paraId="4A461B74">
            <w:pPr>
              <w:widowControl/>
              <w:jc w:val="center"/>
              <w:textAlignment w:val="center"/>
              <w:rPr>
                <w:rFonts w:hint="eastAsia" w:ascii="宋体" w:hAnsi="宋体"/>
                <w:szCs w:val="21"/>
              </w:rPr>
            </w:pPr>
            <w:r>
              <w:rPr>
                <w:rFonts w:hint="eastAsia" w:ascii="宋体" w:hAnsi="宋体"/>
                <w:szCs w:val="21"/>
              </w:rPr>
              <w:t>3500</w:t>
            </w:r>
          </w:p>
        </w:tc>
      </w:tr>
      <w:tr w14:paraId="53718B68">
        <w:tblPrEx>
          <w:tblCellMar>
            <w:top w:w="0" w:type="dxa"/>
            <w:left w:w="108" w:type="dxa"/>
            <w:bottom w:w="0" w:type="dxa"/>
            <w:right w:w="108" w:type="dxa"/>
          </w:tblCellMar>
        </w:tblPrEx>
        <w:trPr>
          <w:trHeight w:val="425" w:hRule="exact"/>
          <w:jc w:val="center"/>
        </w:trPr>
        <w:tc>
          <w:tcPr>
            <w:tcW w:w="1318" w:type="dxa"/>
            <w:vMerge w:val="continue"/>
            <w:tcBorders>
              <w:left w:val="single" w:color="auto" w:sz="4" w:space="0"/>
              <w:right w:val="single" w:color="auto" w:sz="4" w:space="0"/>
            </w:tcBorders>
            <w:vAlign w:val="center"/>
          </w:tcPr>
          <w:p w14:paraId="02ABAEBA">
            <w:pPr>
              <w:jc w:val="center"/>
              <w:rPr>
                <w:rFonts w:hint="eastAsia" w:ascii="宋体" w:hAnsi="宋体" w:cs="宋体"/>
                <w:kern w:val="0"/>
                <w:szCs w:val="21"/>
              </w:rPr>
            </w:pPr>
          </w:p>
        </w:tc>
        <w:tc>
          <w:tcPr>
            <w:tcW w:w="4631" w:type="dxa"/>
            <w:tcBorders>
              <w:top w:val="nil"/>
              <w:left w:val="single" w:color="auto" w:sz="4" w:space="0"/>
              <w:bottom w:val="single" w:color="auto" w:sz="4" w:space="0"/>
              <w:right w:val="single" w:color="auto" w:sz="4" w:space="0"/>
            </w:tcBorders>
            <w:noWrap/>
            <w:vAlign w:val="center"/>
          </w:tcPr>
          <w:p w14:paraId="01DB735A">
            <w:pPr>
              <w:jc w:val="center"/>
              <w:rPr>
                <w:rFonts w:hint="eastAsia" w:ascii="宋体" w:hAnsi="宋体" w:cs="宋体"/>
                <w:szCs w:val="21"/>
              </w:rPr>
            </w:pPr>
            <w:r>
              <w:rPr>
                <w:rFonts w:hint="eastAsia" w:ascii="宋体" w:hAnsi="宋体" w:cs="宋体"/>
                <w:szCs w:val="21"/>
              </w:rPr>
              <w:t>旅游管理</w:t>
            </w:r>
          </w:p>
        </w:tc>
        <w:tc>
          <w:tcPr>
            <w:tcW w:w="1876" w:type="dxa"/>
            <w:tcBorders>
              <w:top w:val="nil"/>
              <w:left w:val="nil"/>
              <w:bottom w:val="single" w:color="auto" w:sz="4" w:space="0"/>
              <w:right w:val="single" w:color="auto" w:sz="4" w:space="0"/>
            </w:tcBorders>
            <w:noWrap/>
            <w:vAlign w:val="center"/>
          </w:tcPr>
          <w:p w14:paraId="088896A6">
            <w:pPr>
              <w:widowControl/>
              <w:jc w:val="center"/>
              <w:textAlignment w:val="center"/>
              <w:rPr>
                <w:rFonts w:hint="eastAsia" w:ascii="宋体" w:hAnsi="宋体"/>
                <w:szCs w:val="21"/>
              </w:rPr>
            </w:pPr>
            <w:r>
              <w:rPr>
                <w:rFonts w:hint="eastAsia" w:ascii="宋体" w:hAnsi="宋体"/>
                <w:szCs w:val="21"/>
              </w:rPr>
              <w:t>4600</w:t>
            </w:r>
          </w:p>
        </w:tc>
      </w:tr>
    </w:tbl>
    <w:tbl>
      <w:tblPr>
        <w:tblStyle w:val="12"/>
        <w:tblpPr w:leftFromText="180" w:rightFromText="180" w:vertAnchor="text" w:tblpX="10214" w:tblpY="-3653"/>
        <w:tblOverlap w:val="never"/>
        <w:tblW w:w="3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4"/>
      </w:tblGrid>
      <w:tr w14:paraId="7CB392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 w:hRule="atLeast"/>
        </w:trPr>
        <w:tc>
          <w:tcPr>
            <w:tcW w:w="324" w:type="dxa"/>
          </w:tcPr>
          <w:p w14:paraId="6A8C48AA">
            <w:pPr>
              <w:widowControl/>
              <w:spacing w:line="500" w:lineRule="exact"/>
              <w:jc w:val="left"/>
              <w:rPr>
                <w:rFonts w:hint="eastAsia" w:ascii="仿宋" w:hAnsi="仿宋" w:eastAsia="仿宋" w:cs="宋体"/>
                <w:b/>
                <w:bCs/>
                <w:kern w:val="0"/>
                <w:sz w:val="28"/>
                <w:u w:val="single"/>
              </w:rPr>
            </w:pPr>
          </w:p>
        </w:tc>
      </w:tr>
    </w:tbl>
    <w:p w14:paraId="0FEC48A8">
      <w:pPr>
        <w:widowControl/>
        <w:spacing w:line="500" w:lineRule="exact"/>
        <w:ind w:firstLine="560" w:firstLineChars="200"/>
        <w:jc w:val="left"/>
        <w:rPr>
          <w:rFonts w:hint="eastAsia" w:ascii="仿宋" w:hAnsi="仿宋" w:eastAsia="仿宋" w:cs="宋体"/>
          <w:kern w:val="0"/>
          <w:sz w:val="28"/>
        </w:rPr>
      </w:pPr>
      <w:r>
        <w:rPr>
          <w:rFonts w:hint="eastAsia" w:ascii="仿宋" w:hAnsi="仿宋" w:eastAsia="仿宋" w:cs="宋体"/>
          <w:kern w:val="0"/>
          <w:sz w:val="28"/>
        </w:rPr>
        <w:t xml:space="preserve">注：1.以上专业中，机电一体化技术、数控技术等专业开设了校企合作现场工程师订单班、中国特色学徒制订单班；      </w:t>
      </w:r>
    </w:p>
    <w:p w14:paraId="39B1D1AF">
      <w:pPr>
        <w:widowControl/>
        <w:spacing w:line="500" w:lineRule="exact"/>
        <w:ind w:firstLine="560" w:firstLineChars="200"/>
        <w:jc w:val="left"/>
        <w:rPr>
          <w:rFonts w:hint="eastAsia" w:ascii="仿宋" w:hAnsi="仿宋" w:eastAsia="仿宋" w:cs="宋体"/>
          <w:kern w:val="0"/>
          <w:sz w:val="28"/>
          <w:u w:val="single"/>
        </w:rPr>
      </w:pPr>
      <w:r>
        <w:rPr>
          <w:rFonts w:hint="eastAsia" w:ascii="仿宋" w:hAnsi="仿宋" w:eastAsia="仿宋" w:cs="宋体"/>
          <w:kern w:val="0"/>
          <w:sz w:val="28"/>
        </w:rPr>
        <w:t>2.开设有校企合作订单班的专业，学生录取后，如有需要可申请并通过企业笔试和面试，进入到订单班培养。</w:t>
      </w:r>
    </w:p>
    <w:p w14:paraId="40DAEA80">
      <w:pPr>
        <w:widowControl/>
        <w:spacing w:line="500" w:lineRule="exact"/>
        <w:ind w:firstLine="562" w:firstLineChars="200"/>
        <w:jc w:val="left"/>
        <w:rPr>
          <w:rFonts w:hint="eastAsia" w:ascii="等线" w:hAnsi="等线" w:eastAsia="仿宋" w:cs="宋体"/>
          <w:kern w:val="0"/>
          <w:sz w:val="28"/>
        </w:rPr>
      </w:pPr>
      <w:r>
        <w:rPr>
          <w:rFonts w:hint="eastAsia" w:ascii="等线" w:hAnsi="等线" w:eastAsia="仿宋" w:cs="仿宋"/>
          <w:b/>
          <w:bCs/>
          <w:sz w:val="28"/>
          <w:szCs w:val="28"/>
        </w:rPr>
        <w:t>第十</w:t>
      </w:r>
      <w:r>
        <w:rPr>
          <w:rFonts w:hint="eastAsia" w:ascii="等线" w:hAnsi="等线" w:eastAsia="仿宋" w:cs="仿宋"/>
          <w:b/>
          <w:bCs/>
          <w:sz w:val="28"/>
          <w:szCs w:val="28"/>
          <w:lang w:val="en-US" w:eastAsia="zh-CN"/>
        </w:rPr>
        <w:t>二</w:t>
      </w:r>
      <w:r>
        <w:rPr>
          <w:rFonts w:hint="eastAsia" w:ascii="等线" w:hAnsi="等线" w:eastAsia="仿宋" w:cs="仿宋"/>
          <w:b/>
          <w:bCs/>
          <w:sz w:val="28"/>
          <w:szCs w:val="28"/>
        </w:rPr>
        <w:t xml:space="preserve">条  </w:t>
      </w:r>
      <w:r>
        <w:rPr>
          <w:rFonts w:hint="eastAsia" w:ascii="仿宋" w:hAnsi="仿宋" w:eastAsia="仿宋" w:cs="宋体"/>
          <w:kern w:val="0"/>
          <w:sz w:val="28"/>
        </w:rPr>
        <w:t>单列计划及专业说明。根据省教育厅政策规定，单列计划纳入我校单招总计划，且均包含在各相关专业的招生计划内，未录满的计划自动转为普通类计划。</w:t>
      </w:r>
      <w:r>
        <w:rPr>
          <w:rFonts w:hint="eastAsia" w:ascii="等线" w:hAnsi="等线" w:eastAsia="仿宋" w:cs="宋体"/>
          <w:kern w:val="0"/>
          <w:sz w:val="28"/>
        </w:rPr>
        <w:t>体育特长生招生计划</w:t>
      </w:r>
      <w:r>
        <w:rPr>
          <w:rFonts w:hint="eastAsia" w:ascii="仿宋" w:hAnsi="仿宋" w:eastAsia="仿宋" w:cs="宋体"/>
          <w:kern w:val="0"/>
          <w:sz w:val="28"/>
        </w:rPr>
        <w:t>12人</w:t>
      </w:r>
      <w:r>
        <w:rPr>
          <w:rFonts w:hint="eastAsia" w:ascii="等线" w:hAnsi="等线" w:eastAsia="仿宋" w:cs="宋体"/>
          <w:kern w:val="0"/>
          <w:sz w:val="28"/>
        </w:rPr>
        <w:t>，考</w:t>
      </w:r>
      <w:r>
        <w:rPr>
          <w:rFonts w:hint="eastAsia" w:ascii="仿宋" w:hAnsi="仿宋" w:eastAsia="仿宋" w:cs="宋体"/>
          <w:kern w:val="0"/>
          <w:sz w:val="28"/>
        </w:rPr>
        <w:t>生可在上表单</w:t>
      </w:r>
      <w:r>
        <w:rPr>
          <w:rFonts w:hint="eastAsia" w:ascii="等线" w:hAnsi="等线" w:eastAsia="仿宋" w:cs="宋体"/>
          <w:kern w:val="0"/>
          <w:sz w:val="28"/>
        </w:rPr>
        <w:t>招专业范围内自行选择报考专业。</w:t>
      </w:r>
    </w:p>
    <w:p w14:paraId="72621631">
      <w:pPr>
        <w:spacing w:line="600" w:lineRule="exact"/>
        <w:ind w:firstLine="562" w:firstLineChars="200"/>
        <w:rPr>
          <w:rFonts w:hint="eastAsia" w:ascii="仿宋" w:hAnsi="仿宋" w:eastAsia="仿宋" w:cs="仿宋"/>
          <w:color w:val="000000"/>
          <w:sz w:val="28"/>
          <w:szCs w:val="28"/>
        </w:rPr>
      </w:pPr>
      <w:r>
        <w:rPr>
          <w:rFonts w:hint="eastAsia" w:ascii="等线" w:hAnsi="等线" w:eastAsia="仿宋" w:cs="宋体"/>
          <w:b/>
          <w:bCs/>
          <w:kern w:val="0"/>
          <w:sz w:val="28"/>
        </w:rPr>
        <w:t>第十</w:t>
      </w:r>
      <w:r>
        <w:rPr>
          <w:rFonts w:hint="eastAsia" w:ascii="等线" w:hAnsi="等线" w:eastAsia="仿宋" w:cs="宋体"/>
          <w:b/>
          <w:bCs/>
          <w:kern w:val="0"/>
          <w:sz w:val="28"/>
          <w:lang w:val="en-US" w:eastAsia="zh-CN"/>
        </w:rPr>
        <w:t>三</w:t>
      </w:r>
      <w:r>
        <w:rPr>
          <w:rFonts w:hint="eastAsia" w:ascii="等线" w:hAnsi="等线" w:eastAsia="仿宋" w:cs="宋体"/>
          <w:b/>
          <w:bCs/>
          <w:kern w:val="0"/>
          <w:sz w:val="28"/>
        </w:rPr>
        <w:t>条</w:t>
      </w:r>
      <w:r>
        <w:rPr>
          <w:rFonts w:hint="eastAsia" w:ascii="等线" w:hAnsi="等线" w:eastAsia="仿宋" w:cs="宋体"/>
          <w:kern w:val="0"/>
          <w:sz w:val="28"/>
        </w:rPr>
        <w:t xml:space="preserve"> 学校在考试结束后，以实际参考人数为基数，按比例确定各专业不同类别考生的计划数。学校各专业各类别计划确定并公布后，一律不调整和追加。单招未完成的计划转为统招计划使用。</w:t>
      </w:r>
    </w:p>
    <w:p w14:paraId="0701DB28">
      <w:pPr>
        <w:numPr>
          <w:ilvl w:val="0"/>
          <w:numId w:val="1"/>
        </w:numPr>
        <w:spacing w:before="156" w:beforeLines="50" w:after="156" w:afterLines="50" w:line="680" w:lineRule="exact"/>
        <w:jc w:val="center"/>
        <w:rPr>
          <w:rFonts w:hint="eastAsia" w:ascii="仿宋" w:hAnsi="仿宋" w:eastAsia="仿宋" w:cs="仿宋"/>
          <w:b/>
          <w:bCs/>
          <w:sz w:val="32"/>
          <w:szCs w:val="32"/>
        </w:rPr>
      </w:pPr>
      <w:r>
        <w:rPr>
          <w:rFonts w:hint="eastAsia" w:ascii="仿宋" w:hAnsi="仿宋" w:eastAsia="仿宋" w:cs="仿宋"/>
          <w:b/>
          <w:bCs/>
          <w:sz w:val="32"/>
          <w:szCs w:val="32"/>
        </w:rPr>
        <w:t>单招考试</w:t>
      </w:r>
    </w:p>
    <w:p w14:paraId="0C6C9F75">
      <w:p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第十</w:t>
      </w:r>
      <w:r>
        <w:rPr>
          <w:rFonts w:hint="eastAsia" w:ascii="等线" w:hAnsi="等线" w:eastAsia="仿宋" w:cs="仿宋"/>
          <w:b/>
          <w:bCs/>
          <w:sz w:val="28"/>
          <w:szCs w:val="28"/>
          <w:lang w:val="en-US" w:eastAsia="zh-CN"/>
        </w:rPr>
        <w:t>四</w:t>
      </w:r>
      <w:r>
        <w:rPr>
          <w:rFonts w:hint="eastAsia" w:ascii="等线" w:hAnsi="等线" w:eastAsia="仿宋" w:cs="仿宋"/>
          <w:b/>
          <w:bCs/>
          <w:sz w:val="28"/>
          <w:szCs w:val="28"/>
        </w:rPr>
        <w:t xml:space="preserve">条 </w:t>
      </w:r>
      <w:r>
        <w:rPr>
          <w:rFonts w:hint="eastAsia" w:ascii="等线" w:hAnsi="等线" w:eastAsia="仿宋" w:cs="仿宋"/>
          <w:sz w:val="28"/>
          <w:szCs w:val="28"/>
        </w:rPr>
        <w:t>学校将本着公平、公正、择优录取的原则，按照国家教育考试相关规定，在省教育厅、省教育考试院的指导和监督下组织单招考试的相关工作。</w:t>
      </w:r>
    </w:p>
    <w:p w14:paraId="511170B9">
      <w:p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第十</w:t>
      </w:r>
      <w:r>
        <w:rPr>
          <w:rFonts w:hint="eastAsia" w:ascii="等线" w:hAnsi="等线" w:eastAsia="仿宋" w:cs="仿宋"/>
          <w:b/>
          <w:bCs/>
          <w:sz w:val="28"/>
          <w:szCs w:val="28"/>
          <w:lang w:val="en-US" w:eastAsia="zh-CN"/>
        </w:rPr>
        <w:t>五</w:t>
      </w:r>
      <w:r>
        <w:rPr>
          <w:rFonts w:hint="eastAsia" w:ascii="等线" w:hAnsi="等线" w:eastAsia="仿宋" w:cs="仿宋"/>
          <w:b/>
          <w:bCs/>
          <w:sz w:val="28"/>
          <w:szCs w:val="28"/>
        </w:rPr>
        <w:t xml:space="preserve">条 </w:t>
      </w:r>
      <w:r>
        <w:rPr>
          <w:rFonts w:hint="eastAsia" w:ascii="等线" w:hAnsi="等线" w:eastAsia="仿宋" w:cs="仿宋"/>
          <w:sz w:val="28"/>
          <w:szCs w:val="28"/>
        </w:rPr>
        <w:t>参加学校今年单招的考生分为应届普通高中毕业考生（具有2024年普通高中学业水平合格性考试</w:t>
      </w:r>
      <w:r>
        <w:rPr>
          <w:rFonts w:hint="eastAsia" w:ascii="等线" w:hAnsi="等线" w:eastAsia="仿宋" w:cs="仿宋"/>
          <w:sz w:val="28"/>
          <w:szCs w:val="28"/>
          <w:lang w:val="en-US" w:eastAsia="zh-CN"/>
        </w:rPr>
        <w:t>语文、数学、外语科目</w:t>
      </w:r>
      <w:r>
        <w:rPr>
          <w:rFonts w:hint="eastAsia" w:ascii="等线" w:hAnsi="等线" w:eastAsia="仿宋" w:cs="仿宋"/>
          <w:sz w:val="28"/>
          <w:szCs w:val="28"/>
        </w:rPr>
        <w:t>有效成绩）、中职考生和往届普通高中考生及同等学力考生（含普通高中学业水平合格性考试</w:t>
      </w:r>
      <w:r>
        <w:rPr>
          <w:rFonts w:hint="eastAsia" w:ascii="等线" w:hAnsi="等线" w:eastAsia="仿宋" w:cs="仿宋"/>
          <w:sz w:val="28"/>
          <w:szCs w:val="28"/>
          <w:lang w:val="en-US" w:eastAsia="zh-CN"/>
        </w:rPr>
        <w:t>语文、数学、外语科目</w:t>
      </w:r>
      <w:r>
        <w:rPr>
          <w:rFonts w:hint="eastAsia" w:ascii="等线" w:hAnsi="等线" w:eastAsia="仿宋" w:cs="仿宋"/>
          <w:sz w:val="28"/>
          <w:szCs w:val="28"/>
        </w:rPr>
        <w:t>有效成绩不全的应届普通高中考生）、艺术体育特长生</w:t>
      </w:r>
      <w:r>
        <w:rPr>
          <w:rFonts w:hint="eastAsia" w:ascii="等线" w:hAnsi="等线" w:eastAsia="仿宋" w:cs="仿宋"/>
          <w:sz w:val="28"/>
          <w:szCs w:val="28"/>
          <w:lang w:val="en-US" w:eastAsia="zh-CN"/>
        </w:rPr>
        <w:t>3</w:t>
      </w:r>
      <w:r>
        <w:rPr>
          <w:rFonts w:hint="eastAsia" w:ascii="等线" w:hAnsi="等线" w:eastAsia="仿宋" w:cs="仿宋"/>
          <w:sz w:val="28"/>
          <w:szCs w:val="28"/>
        </w:rPr>
        <w:t>个大类。</w:t>
      </w:r>
    </w:p>
    <w:p w14:paraId="623C5CE0">
      <w:p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第十</w:t>
      </w:r>
      <w:r>
        <w:rPr>
          <w:rFonts w:hint="eastAsia" w:ascii="等线" w:hAnsi="等线" w:eastAsia="仿宋" w:cs="仿宋"/>
          <w:b/>
          <w:bCs/>
          <w:sz w:val="28"/>
          <w:szCs w:val="28"/>
          <w:lang w:val="en-US" w:eastAsia="zh-CN"/>
        </w:rPr>
        <w:t>六</w:t>
      </w:r>
      <w:r>
        <w:rPr>
          <w:rFonts w:hint="eastAsia" w:ascii="等线" w:hAnsi="等线" w:eastAsia="仿宋" w:cs="仿宋"/>
          <w:b/>
          <w:bCs/>
          <w:sz w:val="28"/>
          <w:szCs w:val="28"/>
        </w:rPr>
        <w:t xml:space="preserve">条 </w:t>
      </w:r>
      <w:r>
        <w:rPr>
          <w:rFonts w:hint="eastAsia" w:ascii="等线" w:hAnsi="等线" w:eastAsia="仿宋" w:cs="仿宋"/>
          <w:sz w:val="28"/>
          <w:szCs w:val="28"/>
        </w:rPr>
        <w:t>按照“文化素质+职业技能”方式，分类组织考试。根据考生的类别，考试按以下方式进行。</w:t>
      </w:r>
    </w:p>
    <w:p w14:paraId="336A6842">
      <w:pPr>
        <w:spacing w:line="500" w:lineRule="exact"/>
        <w:ind w:firstLine="560" w:firstLineChars="200"/>
        <w:rPr>
          <w:rFonts w:hint="eastAsia" w:ascii="等线" w:hAnsi="等线" w:eastAsia="仿宋" w:cs="仿宋"/>
          <w:color w:val="ED7D31" w:themeColor="accent2"/>
          <w:sz w:val="28"/>
          <w:szCs w:val="28"/>
        </w:rPr>
      </w:pPr>
      <w:r>
        <w:rPr>
          <w:rFonts w:hint="eastAsia" w:ascii="等线" w:hAnsi="等线" w:eastAsia="仿宋" w:cs="仿宋"/>
          <w:sz w:val="28"/>
          <w:szCs w:val="28"/>
        </w:rPr>
        <w:t>1.第一类：应届普通高中毕业考生。文化素质测试成绩以学生取得的高中学业水平合格性考试语文、数学、外语科目相加的有效成绩代替，满分300分。职业技能测试由学校组织，学校分专业组，按照人才培养需要，分别采取笔试方式进行，重点考察学生的职业适应性和职业技能，满分300分。</w:t>
      </w:r>
    </w:p>
    <w:p w14:paraId="6132CBE2">
      <w:pPr>
        <w:spacing w:line="500" w:lineRule="exact"/>
        <w:ind w:firstLine="560" w:firstLineChars="200"/>
        <w:rPr>
          <w:rFonts w:hint="eastAsia" w:ascii="等线" w:hAnsi="等线" w:eastAsia="仿宋" w:cs="仿宋"/>
          <w:color w:val="ED7D31" w:themeColor="accent2"/>
          <w:sz w:val="28"/>
          <w:szCs w:val="28"/>
        </w:rPr>
      </w:pPr>
      <w:r>
        <w:rPr>
          <w:rFonts w:hint="eastAsia" w:ascii="等线" w:hAnsi="等线" w:eastAsia="仿宋" w:cs="仿宋"/>
          <w:sz w:val="28"/>
          <w:szCs w:val="28"/>
        </w:rPr>
        <w:t>2.第二类：中职考生和往届普通高中考生及同等学力考生。文化素质测试由学校依据《中等职业学校公共基础课课程标准》及高中教育阶段语文、数学、英语有关内容进行命题及考试，采取笔试方式进行，满分300分。职业技能测试由学校组织，学校分专业组，按照人才培养需要，分别采取笔试方式进行，重点考察学生的职业适应性和职业技能，满分300分。</w:t>
      </w:r>
    </w:p>
    <w:p w14:paraId="0469E642">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lang w:val="en-US" w:eastAsia="zh-CN"/>
        </w:rPr>
        <w:t>3</w:t>
      </w:r>
      <w:r>
        <w:rPr>
          <w:rFonts w:hint="eastAsia" w:ascii="等线" w:hAnsi="等线" w:eastAsia="仿宋" w:cs="仿宋"/>
          <w:sz w:val="28"/>
          <w:szCs w:val="28"/>
        </w:rPr>
        <w:t>.第</w:t>
      </w:r>
      <w:r>
        <w:rPr>
          <w:rFonts w:hint="eastAsia" w:ascii="等线" w:hAnsi="等线" w:eastAsia="仿宋" w:cs="仿宋"/>
          <w:sz w:val="28"/>
          <w:szCs w:val="28"/>
          <w:lang w:val="en-US" w:eastAsia="zh-CN"/>
        </w:rPr>
        <w:t>三</w:t>
      </w:r>
      <w:r>
        <w:rPr>
          <w:rFonts w:hint="eastAsia" w:ascii="等线" w:hAnsi="等线" w:eastAsia="仿宋" w:cs="仿宋"/>
          <w:sz w:val="28"/>
          <w:szCs w:val="28"/>
        </w:rPr>
        <w:t xml:space="preserve">类：艺术体育特长生。文化素质测试根据学生类别不同，分别采取上述第一类或第二类的方式进行。职业技能测试成绩以体育专项测试成绩代替，专项测试按照《湖南网络工程职业学院  </w:t>
      </w:r>
      <w:r>
        <w:rPr>
          <w:rFonts w:hint="eastAsia" w:ascii="等线" w:hAnsi="等线" w:eastAsia="仿宋" w:cs="仿宋"/>
          <w:sz w:val="28"/>
          <w:szCs w:val="28"/>
          <w:u w:val="single"/>
        </w:rPr>
        <w:t xml:space="preserve">          </w:t>
      </w:r>
      <w:r>
        <w:rPr>
          <w:rFonts w:hint="eastAsia" w:ascii="等线" w:hAnsi="等线" w:eastAsia="仿宋" w:cs="仿宋"/>
          <w:sz w:val="28"/>
          <w:szCs w:val="28"/>
        </w:rPr>
        <w:t>2025年体育特长生高职单招方案》执行。</w:t>
      </w:r>
    </w:p>
    <w:p w14:paraId="387529D5">
      <w:p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第十</w:t>
      </w:r>
      <w:r>
        <w:rPr>
          <w:rFonts w:hint="eastAsia" w:ascii="等线" w:hAnsi="等线" w:eastAsia="仿宋" w:cs="仿宋"/>
          <w:b/>
          <w:bCs/>
          <w:sz w:val="28"/>
          <w:szCs w:val="28"/>
          <w:lang w:val="en-US" w:eastAsia="zh-CN"/>
        </w:rPr>
        <w:t>七</w:t>
      </w:r>
      <w:r>
        <w:rPr>
          <w:rFonts w:hint="eastAsia" w:ascii="等线" w:hAnsi="等线" w:eastAsia="仿宋" w:cs="仿宋"/>
          <w:b/>
          <w:bCs/>
          <w:sz w:val="28"/>
          <w:szCs w:val="28"/>
        </w:rPr>
        <w:t>条</w:t>
      </w:r>
      <w:r>
        <w:rPr>
          <w:rFonts w:hint="eastAsia" w:ascii="等线" w:hAnsi="等线" w:eastAsia="仿宋" w:cs="仿宋"/>
          <w:sz w:val="28"/>
          <w:szCs w:val="28"/>
        </w:rPr>
        <w:t xml:space="preserve"> 考生综合成绩计算办法。</w:t>
      </w:r>
    </w:p>
    <w:p w14:paraId="6956EB24">
      <w:pPr>
        <w:spacing w:line="50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1</w:t>
      </w:r>
      <w:r>
        <w:rPr>
          <w:rFonts w:hint="eastAsia" w:ascii="仿宋" w:hAnsi="仿宋" w:eastAsia="仿宋" w:cs="宋体"/>
          <w:kern w:val="0"/>
          <w:sz w:val="28"/>
        </w:rPr>
        <w:t>.</w:t>
      </w:r>
      <w:r>
        <w:rPr>
          <w:rFonts w:hint="eastAsia" w:ascii="仿宋" w:hAnsi="仿宋" w:eastAsia="仿宋" w:cs="仿宋"/>
          <w:sz w:val="28"/>
          <w:szCs w:val="28"/>
        </w:rPr>
        <w:t>一类考生（应届普通高中毕业考生）：综合成绩=高中学业水平合格性考试语文、数学、外语科目有效成绩+职业技能测试成绩。</w:t>
      </w:r>
    </w:p>
    <w:p w14:paraId="678AC189">
      <w:pPr>
        <w:spacing w:line="500" w:lineRule="exact"/>
        <w:ind w:firstLine="560" w:firstLineChars="200"/>
        <w:rPr>
          <w:rFonts w:hint="eastAsia" w:ascii="仿宋" w:hAnsi="仿宋" w:eastAsia="仿宋" w:cs="仿宋"/>
          <w:sz w:val="28"/>
          <w:szCs w:val="28"/>
        </w:rPr>
      </w:pPr>
      <w:r>
        <w:rPr>
          <w:rFonts w:hint="eastAsia" w:ascii="仿宋" w:hAnsi="仿宋" w:eastAsia="仿宋" w:cs="仿宋"/>
          <w:sz w:val="28"/>
          <w:szCs w:val="28"/>
        </w:rPr>
        <w:t>2</w:t>
      </w:r>
      <w:r>
        <w:rPr>
          <w:rFonts w:hint="eastAsia" w:ascii="仿宋" w:hAnsi="仿宋" w:eastAsia="仿宋" w:cs="宋体"/>
          <w:kern w:val="0"/>
          <w:sz w:val="28"/>
        </w:rPr>
        <w:t>.</w:t>
      </w:r>
      <w:r>
        <w:rPr>
          <w:rFonts w:hint="eastAsia" w:ascii="仿宋" w:hAnsi="仿宋" w:eastAsia="仿宋" w:cs="仿宋"/>
          <w:sz w:val="28"/>
          <w:szCs w:val="28"/>
        </w:rPr>
        <w:t>二类考生（中职考生和往届普通高中考生及同等学力考生）：综合成绩=文化素质测试成绩+职业技能测试成绩。</w:t>
      </w:r>
    </w:p>
    <w:p w14:paraId="7FDF231B">
      <w:pPr>
        <w:spacing w:line="500" w:lineRule="exact"/>
        <w:ind w:firstLine="560" w:firstLineChars="200"/>
        <w:rPr>
          <w:rFonts w:hint="eastAsia" w:ascii="等线" w:hAnsi="等线" w:eastAsia="仿宋" w:cs="仿宋"/>
          <w:sz w:val="28"/>
          <w:szCs w:val="28"/>
        </w:rPr>
      </w:pPr>
      <w:r>
        <w:rPr>
          <w:rFonts w:hint="eastAsia" w:ascii="仿宋" w:hAnsi="仿宋" w:eastAsia="仿宋" w:cs="宋体"/>
          <w:kern w:val="0"/>
          <w:sz w:val="28"/>
          <w:lang w:val="en-US" w:eastAsia="zh-CN"/>
        </w:rPr>
        <w:t>3</w:t>
      </w:r>
      <w:r>
        <w:rPr>
          <w:rFonts w:hint="eastAsia" w:ascii="仿宋" w:hAnsi="仿宋" w:eastAsia="仿宋" w:cs="宋体"/>
          <w:kern w:val="0"/>
          <w:sz w:val="28"/>
        </w:rPr>
        <w:t>.</w:t>
      </w:r>
      <w:r>
        <w:rPr>
          <w:rFonts w:hint="eastAsia" w:ascii="仿宋" w:hAnsi="仿宋" w:eastAsia="仿宋" w:cs="宋体"/>
          <w:kern w:val="0"/>
          <w:sz w:val="28"/>
          <w:lang w:val="en-US" w:eastAsia="zh-CN"/>
        </w:rPr>
        <w:t>三</w:t>
      </w:r>
      <w:r>
        <w:rPr>
          <w:rFonts w:hint="eastAsia" w:ascii="仿宋" w:hAnsi="仿宋" w:eastAsia="仿宋" w:cs="宋体"/>
          <w:kern w:val="0"/>
          <w:sz w:val="28"/>
        </w:rPr>
        <w:t>类考生（艺术</w:t>
      </w:r>
      <w:r>
        <w:rPr>
          <w:rFonts w:hint="eastAsia" w:ascii="仿宋" w:hAnsi="仿宋" w:eastAsia="仿宋" w:cs="仿宋"/>
          <w:sz w:val="28"/>
          <w:szCs w:val="28"/>
        </w:rPr>
        <w:t>体育特长生）：综合成绩=文化素质测试成绩+体育专项测试成绩。</w:t>
      </w:r>
    </w:p>
    <w:p w14:paraId="363B20E7">
      <w:pPr>
        <w:spacing w:line="500" w:lineRule="exact"/>
        <w:ind w:firstLine="562" w:firstLineChars="200"/>
        <w:rPr>
          <w:rFonts w:hint="eastAsia" w:ascii="方正小标宋简体" w:hAnsi="方正小标宋简体" w:eastAsia="方正小标宋简体" w:cs="方正小标宋简体"/>
          <w:color w:val="FF0000"/>
          <w:sz w:val="28"/>
          <w:szCs w:val="28"/>
        </w:rPr>
      </w:pPr>
      <w:r>
        <w:rPr>
          <w:rFonts w:hint="eastAsia" w:ascii="等线" w:hAnsi="等线" w:eastAsia="仿宋" w:cs="仿宋"/>
          <w:b/>
          <w:bCs/>
          <w:sz w:val="28"/>
          <w:szCs w:val="28"/>
        </w:rPr>
        <w:t>第十</w:t>
      </w:r>
      <w:r>
        <w:rPr>
          <w:rFonts w:hint="eastAsia" w:ascii="等线" w:hAnsi="等线" w:eastAsia="仿宋" w:cs="仿宋"/>
          <w:b/>
          <w:bCs/>
          <w:sz w:val="28"/>
          <w:szCs w:val="28"/>
          <w:lang w:val="en-US" w:eastAsia="zh-CN"/>
        </w:rPr>
        <w:t>八</w:t>
      </w:r>
      <w:r>
        <w:rPr>
          <w:rFonts w:hint="eastAsia" w:ascii="等线" w:hAnsi="等线" w:eastAsia="仿宋" w:cs="仿宋"/>
          <w:b/>
          <w:bCs/>
          <w:sz w:val="28"/>
          <w:szCs w:val="28"/>
        </w:rPr>
        <w:t>条</w:t>
      </w:r>
      <w:r>
        <w:rPr>
          <w:rFonts w:hint="eastAsia" w:ascii="等线" w:hAnsi="等线" w:eastAsia="仿宋" w:cs="仿宋"/>
          <w:sz w:val="28"/>
          <w:szCs w:val="28"/>
        </w:rPr>
        <w:t xml:space="preserve">  我校将按照分类考试的原则，对不同专业组的职业技能测试分别进行命题。我校文化素质测试、职业技能测试的有关说明、考试范围等，将在我校招生网和官方公众号上进行公布。</w:t>
      </w:r>
    </w:p>
    <w:p w14:paraId="0FE75DBD">
      <w:p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第</w:t>
      </w:r>
      <w:r>
        <w:rPr>
          <w:rFonts w:hint="eastAsia" w:ascii="等线" w:hAnsi="等线" w:eastAsia="仿宋" w:cs="仿宋"/>
          <w:b/>
          <w:bCs/>
          <w:sz w:val="28"/>
          <w:szCs w:val="28"/>
          <w:lang w:val="en-US" w:eastAsia="zh-CN"/>
        </w:rPr>
        <w:t>十九</w:t>
      </w:r>
      <w:r>
        <w:rPr>
          <w:rFonts w:hint="eastAsia" w:ascii="等线" w:hAnsi="等线" w:eastAsia="仿宋" w:cs="仿宋"/>
          <w:b/>
          <w:bCs/>
          <w:sz w:val="28"/>
          <w:szCs w:val="28"/>
        </w:rPr>
        <w:t xml:space="preserve">条 </w:t>
      </w:r>
      <w:r>
        <w:rPr>
          <w:rFonts w:hint="eastAsia" w:ascii="等线" w:hAnsi="等线" w:eastAsia="仿宋" w:cs="仿宋"/>
          <w:sz w:val="28"/>
          <w:szCs w:val="28"/>
        </w:rPr>
        <w:t xml:space="preserve"> </w:t>
      </w:r>
      <w:r>
        <w:rPr>
          <w:rFonts w:hint="eastAsia" w:ascii="仿宋" w:hAnsi="仿宋" w:eastAsia="仿宋" w:cs="仿宋"/>
          <w:sz w:val="28"/>
          <w:szCs w:val="28"/>
        </w:rPr>
        <w:t>符合以下免试条件的考生在单招考试前向学校申请。其中，职业技能特长申请免技能测试的考生，须在2025年2月18日9时—2</w:t>
      </w:r>
      <w:r>
        <w:rPr>
          <w:rFonts w:hint="eastAsia" w:ascii="仿宋" w:hAnsi="仿宋" w:eastAsia="仿宋" w:cs="仿宋"/>
          <w:sz w:val="28"/>
          <w:szCs w:val="28"/>
          <w:lang w:val="en-US" w:eastAsia="zh-CN"/>
        </w:rPr>
        <w:t>4</w:t>
      </w:r>
      <w:r>
        <w:rPr>
          <w:rFonts w:hint="eastAsia" w:ascii="仿宋" w:hAnsi="仿宋" w:eastAsia="仿宋" w:cs="仿宋"/>
          <w:sz w:val="28"/>
          <w:szCs w:val="28"/>
        </w:rPr>
        <w:t>日17时，将本人身份证及获奖证书的原件和复印件交到学院终身教育大楼招生与就业工作处1911办公室，咨询电话：0731-82821057，咨询QQ：434953624。免试直接录取的考生不占用单招计划数，使用我校统招计划，在统招录取前完成录取手续办理，有关审核程序和方法由省教育考试院另行规定。</w:t>
      </w:r>
    </w:p>
    <w:p w14:paraId="595E3EC5">
      <w:pPr>
        <w:numPr>
          <w:ilvl w:val="0"/>
          <w:numId w:val="4"/>
        </w:num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免试直接录取。根据教育部政策规定，中等职业教育应届毕业生，在校期间在世界技能组织主办的“世界技能大赛</w:t>
      </w:r>
      <w:r>
        <w:rPr>
          <w:rFonts w:hint="eastAsia" w:ascii="仿宋" w:hAnsi="仿宋" w:eastAsia="仿宋" w:cs="仿宋"/>
          <w:sz w:val="28"/>
          <w:szCs w:val="28"/>
        </w:rPr>
        <w:t>（World Skills Competition）</w:t>
      </w:r>
      <w:r>
        <w:rPr>
          <w:rFonts w:hint="eastAsia" w:ascii="等线" w:hAnsi="等线" w:eastAsia="仿宋" w:cs="仿宋"/>
          <w:sz w:val="28"/>
          <w:szCs w:val="28"/>
        </w:rPr>
        <w:t>”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录取到我校就读。</w:t>
      </w:r>
    </w:p>
    <w:p w14:paraId="1BD5E821">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2.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14EB5D92">
      <w:pPr>
        <w:spacing w:line="500" w:lineRule="exact"/>
        <w:ind w:firstLine="560" w:firstLineChars="200"/>
        <w:rPr>
          <w:rFonts w:hint="eastAsia" w:ascii="等线" w:hAnsi="等线" w:eastAsia="仿宋" w:cs="仿宋"/>
          <w:sz w:val="28"/>
          <w:szCs w:val="28"/>
        </w:rPr>
      </w:pPr>
      <w:r>
        <w:rPr>
          <w:rFonts w:hint="eastAsia" w:ascii="等线" w:hAnsi="等线" w:eastAsia="仿宋" w:cs="仿宋"/>
          <w:sz w:val="28"/>
          <w:szCs w:val="28"/>
        </w:rPr>
        <w:t>3.免试考生的录取专业与其获奖赛项对应（考生如需跨专业报考，则不能享受免试政策）。</w:t>
      </w:r>
    </w:p>
    <w:p w14:paraId="262C4F30">
      <w:p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第二十条</w:t>
      </w:r>
      <w:r>
        <w:rPr>
          <w:rFonts w:hint="eastAsia" w:ascii="等线" w:hAnsi="等线" w:eastAsia="仿宋" w:cs="仿宋"/>
          <w:sz w:val="28"/>
          <w:szCs w:val="28"/>
        </w:rPr>
        <w:t xml:space="preserve"> 学校按一志愿、二志愿分别组织单招考试。第一志愿考试时间为2025年3月8日。若第一志愿生源不足，未完成单招计划，我校将组织第二志愿考试，参考对象为第二志愿报考我校且未被第一志愿学校录取考生，时间为2025年4月5日-6日。各科目的具体考试时间及地点将在我校招生网及官方公众号上另行公布。</w:t>
      </w:r>
    </w:p>
    <w:p w14:paraId="292BB4A7">
      <w:pPr>
        <w:spacing w:line="500" w:lineRule="exact"/>
        <w:ind w:firstLine="562" w:firstLineChars="200"/>
        <w:rPr>
          <w:rFonts w:hint="eastAsia" w:ascii="仿宋" w:hAnsi="仿宋" w:eastAsia="仿宋" w:cs="仿宋"/>
          <w:sz w:val="28"/>
          <w:szCs w:val="28"/>
        </w:rPr>
      </w:pPr>
      <w:r>
        <w:rPr>
          <w:rFonts w:hint="eastAsia" w:ascii="等线" w:hAnsi="等线" w:eastAsia="仿宋" w:cs="仿宋"/>
          <w:b/>
          <w:bCs/>
          <w:sz w:val="28"/>
          <w:szCs w:val="28"/>
        </w:rPr>
        <w:t>第二十</w:t>
      </w:r>
      <w:r>
        <w:rPr>
          <w:rFonts w:hint="eastAsia" w:ascii="等线" w:hAnsi="等线" w:eastAsia="仿宋" w:cs="仿宋"/>
          <w:b/>
          <w:bCs/>
          <w:sz w:val="28"/>
          <w:szCs w:val="28"/>
          <w:lang w:val="en-US" w:eastAsia="zh-CN"/>
        </w:rPr>
        <w:t>一</w:t>
      </w:r>
      <w:r>
        <w:rPr>
          <w:rFonts w:hint="eastAsia" w:ascii="等线" w:hAnsi="等线" w:eastAsia="仿宋" w:cs="仿宋"/>
          <w:b/>
          <w:bCs/>
          <w:sz w:val="28"/>
          <w:szCs w:val="28"/>
        </w:rPr>
        <w:t xml:space="preserve">条 </w:t>
      </w:r>
      <w:r>
        <w:rPr>
          <w:rFonts w:hint="eastAsia" w:ascii="等线" w:hAnsi="等线" w:eastAsia="仿宋" w:cs="仿宋"/>
          <w:sz w:val="28"/>
          <w:szCs w:val="28"/>
        </w:rPr>
        <w:t>根据物价部门统一规定，高职单招的报考费为80元/生。报考我校第</w:t>
      </w:r>
      <w:r>
        <w:rPr>
          <w:rFonts w:hint="eastAsia" w:ascii="仿宋" w:hAnsi="仿宋" w:eastAsia="仿宋" w:cs="仿宋"/>
          <w:sz w:val="28"/>
          <w:szCs w:val="28"/>
        </w:rPr>
        <w:t>一志愿的考生费用缴纳时间为3</w:t>
      </w:r>
      <w:r>
        <w:rPr>
          <w:rFonts w:hint="eastAsia" w:ascii="等线" w:hAnsi="等线" w:eastAsia="仿宋" w:cs="仿宋"/>
          <w:sz w:val="28"/>
          <w:szCs w:val="28"/>
        </w:rPr>
        <w:t>月1日-3月3日，</w:t>
      </w:r>
      <w:r>
        <w:rPr>
          <w:rFonts w:hint="eastAsia" w:ascii="仿宋" w:hAnsi="仿宋" w:eastAsia="仿宋" w:cs="仿宋"/>
          <w:sz w:val="28"/>
          <w:szCs w:val="28"/>
        </w:rPr>
        <w:t>缴纳方式为网上缴费（缴费流程详见学院招生网）。缴费成功的考生于2025年3月6日-7日自行打印准考证。第二志愿考生缴费及准考证打印时间学校另行公布。</w:t>
      </w:r>
      <w:r>
        <w:rPr>
          <w:rFonts w:hint="eastAsia" w:ascii="等线" w:hAnsi="等线" w:eastAsia="仿宋" w:cs="仿宋"/>
          <w:sz w:val="28"/>
          <w:szCs w:val="28"/>
        </w:rPr>
        <w:t>缴费咨询电话：0731-82821715，打印准考证咨询电话：0731-82821068。</w:t>
      </w:r>
      <w:r>
        <w:rPr>
          <w:rFonts w:hint="eastAsia" w:ascii="仿宋" w:hAnsi="仿宋" w:eastAsia="仿宋" w:cs="仿宋"/>
          <w:sz w:val="28"/>
          <w:szCs w:val="28"/>
        </w:rPr>
        <w:t>缴费及</w:t>
      </w:r>
      <w:r>
        <w:rPr>
          <w:rFonts w:hint="eastAsia" w:ascii="等线" w:hAnsi="等线" w:eastAsia="仿宋" w:cs="仿宋"/>
          <w:sz w:val="28"/>
          <w:szCs w:val="28"/>
        </w:rPr>
        <w:t>准考证打印</w:t>
      </w:r>
      <w:r>
        <w:rPr>
          <w:rFonts w:hint="eastAsia" w:ascii="仿宋" w:hAnsi="仿宋" w:eastAsia="仿宋" w:cs="仿宋"/>
          <w:sz w:val="28"/>
          <w:szCs w:val="28"/>
        </w:rPr>
        <w:t>流程详见学校招生网（  https://www.hnou.edu.cn/sites/html/wyzs/）。</w:t>
      </w:r>
    </w:p>
    <w:p w14:paraId="13F50D16">
      <w:pPr>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第二十</w:t>
      </w:r>
      <w:r>
        <w:rPr>
          <w:rFonts w:hint="eastAsia" w:ascii="等线" w:hAnsi="等线" w:eastAsia="仿宋" w:cs="仿宋"/>
          <w:b/>
          <w:bCs/>
          <w:sz w:val="28"/>
          <w:szCs w:val="28"/>
          <w:lang w:val="en-US" w:eastAsia="zh-CN"/>
        </w:rPr>
        <w:t>二</w:t>
      </w:r>
      <w:r>
        <w:rPr>
          <w:rFonts w:hint="eastAsia" w:ascii="等线" w:hAnsi="等线" w:eastAsia="仿宋" w:cs="仿宋"/>
          <w:b/>
          <w:bCs/>
          <w:sz w:val="28"/>
          <w:szCs w:val="28"/>
        </w:rPr>
        <w:t>条</w:t>
      </w:r>
      <w:r>
        <w:rPr>
          <w:rFonts w:hint="eastAsia" w:ascii="等线" w:hAnsi="等线" w:eastAsia="仿宋" w:cs="仿宋"/>
          <w:sz w:val="28"/>
          <w:szCs w:val="28"/>
        </w:rPr>
        <w:t xml:space="preserve"> 我校单招考试在省教育考试院的指导下，参照国家教育考试规定进行组织。在学校招生工作领导小组的统筹下，教务处、招生与就业工作处等部门共同组织考务工作。具体由教务处  </w:t>
      </w:r>
      <w:r>
        <w:rPr>
          <w:rFonts w:hint="eastAsia" w:ascii="等线" w:hAnsi="等线" w:eastAsia="仿宋" w:cs="仿宋"/>
          <w:sz w:val="28"/>
          <w:szCs w:val="28"/>
          <w:u w:val="single"/>
        </w:rPr>
        <w:t xml:space="preserve">              </w:t>
      </w:r>
      <w:r>
        <w:rPr>
          <w:rFonts w:hint="eastAsia" w:ascii="等线" w:hAnsi="等线" w:eastAsia="仿宋" w:cs="仿宋"/>
          <w:sz w:val="28"/>
          <w:szCs w:val="28"/>
        </w:rPr>
        <w:t>牵头组织命题，并负责其保密工作；教务处负责按国考要求制定具体的组考方案，根据报考人数合理安排考场并组织有序考试；</w:t>
      </w:r>
      <w:r>
        <w:rPr>
          <w:rFonts w:hint="eastAsia" w:ascii="等线" w:hAnsi="等线" w:eastAsia="仿宋" w:cs="仿宋"/>
          <w:sz w:val="28"/>
          <w:szCs w:val="28"/>
          <w:u w:val="single"/>
        </w:rPr>
        <w:t xml:space="preserve">          </w:t>
      </w:r>
      <w:r>
        <w:rPr>
          <w:rFonts w:hint="eastAsia" w:ascii="等线" w:hAnsi="等线" w:eastAsia="仿宋" w:cs="仿宋"/>
          <w:sz w:val="28"/>
          <w:szCs w:val="28"/>
        </w:rPr>
        <w:t xml:space="preserve"> 组织相关专家参照湖南省普通高考评卷及登分工作有关要求，制定科学合理的评判标准，加大信息公开及结果公示力度，确保考试评判工作公正、透明。</w:t>
      </w:r>
    </w:p>
    <w:p w14:paraId="15F9C15D">
      <w:pPr>
        <w:numPr>
          <w:ilvl w:val="255"/>
          <w:numId w:val="0"/>
        </w:numPr>
        <w:spacing w:line="500" w:lineRule="exact"/>
        <w:rPr>
          <w:rFonts w:hint="eastAsia" w:ascii="等线" w:hAnsi="等线" w:eastAsia="仿宋" w:cs="仿宋"/>
          <w:sz w:val="28"/>
          <w:szCs w:val="28"/>
        </w:rPr>
      </w:pPr>
    </w:p>
    <w:p w14:paraId="4467825F">
      <w:pPr>
        <w:numPr>
          <w:ilvl w:val="0"/>
          <w:numId w:val="1"/>
        </w:numPr>
        <w:spacing w:before="156" w:beforeLines="50" w:after="156" w:afterLines="50" w:line="680" w:lineRule="exact"/>
        <w:jc w:val="center"/>
        <w:rPr>
          <w:rFonts w:hint="eastAsia" w:ascii="仿宋" w:hAnsi="仿宋" w:eastAsia="仿宋" w:cs="仿宋"/>
          <w:b/>
          <w:bCs/>
          <w:sz w:val="32"/>
          <w:szCs w:val="32"/>
        </w:rPr>
      </w:pPr>
      <w:r>
        <w:rPr>
          <w:rFonts w:hint="eastAsia" w:ascii="仿宋" w:hAnsi="仿宋" w:eastAsia="仿宋" w:cs="仿宋"/>
          <w:b/>
          <w:bCs/>
          <w:sz w:val="32"/>
          <w:szCs w:val="32"/>
        </w:rPr>
        <w:t>单招录取</w:t>
      </w:r>
    </w:p>
    <w:p w14:paraId="42F1884A">
      <w:pPr>
        <w:widowControl/>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第二十</w:t>
      </w:r>
      <w:r>
        <w:rPr>
          <w:rFonts w:hint="eastAsia" w:ascii="等线" w:hAnsi="等线" w:eastAsia="仿宋" w:cs="仿宋"/>
          <w:b/>
          <w:bCs/>
          <w:sz w:val="28"/>
          <w:szCs w:val="28"/>
          <w:lang w:val="en-US" w:eastAsia="zh-CN"/>
        </w:rPr>
        <w:t>三</w:t>
      </w:r>
      <w:r>
        <w:rPr>
          <w:rFonts w:hint="eastAsia" w:ascii="等线" w:hAnsi="等线" w:eastAsia="仿宋" w:cs="仿宋"/>
          <w:b/>
          <w:bCs/>
          <w:sz w:val="28"/>
          <w:szCs w:val="28"/>
        </w:rPr>
        <w:t>条</w:t>
      </w:r>
      <w:r>
        <w:rPr>
          <w:rFonts w:hint="eastAsia" w:ascii="等线" w:hAnsi="等线" w:eastAsia="仿宋" w:cs="仿宋"/>
          <w:sz w:val="28"/>
          <w:szCs w:val="28"/>
        </w:rPr>
        <w:t xml:space="preserve"> 应届普通高中毕业考生（第一类考生）、中职考生和往届普通高中考生及同等学力考生（第二类考生）的类别确定及普通高中学业水平合格性考试成绩的认定以省教育考试院提供的数据为依据。</w:t>
      </w:r>
    </w:p>
    <w:p w14:paraId="1BAFC01F">
      <w:pPr>
        <w:widowControl/>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第二十</w:t>
      </w:r>
      <w:r>
        <w:rPr>
          <w:rFonts w:hint="eastAsia" w:ascii="等线" w:hAnsi="等线" w:eastAsia="仿宋" w:cs="仿宋"/>
          <w:b/>
          <w:bCs/>
          <w:sz w:val="28"/>
          <w:szCs w:val="28"/>
          <w:lang w:val="en-US" w:eastAsia="zh-CN"/>
        </w:rPr>
        <w:t>四</w:t>
      </w:r>
      <w:r>
        <w:rPr>
          <w:rFonts w:hint="eastAsia" w:ascii="等线" w:hAnsi="等线" w:eastAsia="仿宋" w:cs="仿宋"/>
          <w:b/>
          <w:bCs/>
          <w:sz w:val="28"/>
          <w:szCs w:val="28"/>
        </w:rPr>
        <w:t>条</w:t>
      </w:r>
      <w:r>
        <w:rPr>
          <w:rFonts w:hint="eastAsia" w:ascii="等线" w:hAnsi="等线" w:eastAsia="仿宋" w:cs="仿宋"/>
          <w:sz w:val="28"/>
          <w:szCs w:val="28"/>
        </w:rPr>
        <w:t xml:space="preserve"> 单招录取首先对报考单列计划的考生（第三类考生）进行录取，单列计划只录取第一志愿报考的考生，如有剩余单列计划则转为普通类计划录取第一类、第二类考生。</w:t>
      </w:r>
    </w:p>
    <w:p w14:paraId="32338D21">
      <w:pPr>
        <w:widowControl/>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第二十</w:t>
      </w:r>
      <w:r>
        <w:rPr>
          <w:rFonts w:hint="eastAsia" w:ascii="等线" w:hAnsi="等线" w:eastAsia="仿宋" w:cs="仿宋"/>
          <w:b/>
          <w:bCs/>
          <w:sz w:val="28"/>
          <w:szCs w:val="28"/>
          <w:lang w:val="en-US" w:eastAsia="zh-CN"/>
        </w:rPr>
        <w:t>五</w:t>
      </w:r>
      <w:r>
        <w:rPr>
          <w:rFonts w:hint="eastAsia" w:ascii="等线" w:hAnsi="等线" w:eastAsia="仿宋" w:cs="仿宋"/>
          <w:b/>
          <w:bCs/>
          <w:sz w:val="28"/>
          <w:szCs w:val="28"/>
        </w:rPr>
        <w:t xml:space="preserve">条 </w:t>
      </w:r>
      <w:r>
        <w:rPr>
          <w:rFonts w:hint="eastAsia" w:ascii="等线" w:hAnsi="等线" w:eastAsia="仿宋" w:cs="仿宋"/>
          <w:sz w:val="28"/>
          <w:szCs w:val="28"/>
        </w:rPr>
        <w:t>普通类考生分类别分专业招生计划以实际参考的考生人数为基数，按专业计划数除以该专业参考总人数再乘以各类别参考人数的计算公式列出各专业第一类考生、第二类考生</w:t>
      </w:r>
      <w:bookmarkStart w:id="1" w:name="_GoBack"/>
      <w:bookmarkEnd w:id="1"/>
      <w:r>
        <w:rPr>
          <w:rFonts w:hint="eastAsia" w:ascii="等线" w:hAnsi="等线" w:eastAsia="仿宋" w:cs="仿宋"/>
          <w:sz w:val="28"/>
          <w:szCs w:val="28"/>
        </w:rPr>
        <w:t>的实际录取计划数。例如，某专业招生计划共100人，单列计划已录取5人，剩余计划95人录取第一类、第二类学生，如第一类考生、第二类考生一志愿实际参考的人数分别为</w:t>
      </w:r>
      <w:r>
        <w:rPr>
          <w:rFonts w:ascii="等线" w:hAnsi="等线" w:eastAsia="仿宋" w:cs="仿宋"/>
          <w:sz w:val="28"/>
          <w:szCs w:val="28"/>
        </w:rPr>
        <w:t>150</w:t>
      </w:r>
      <w:r>
        <w:rPr>
          <w:rFonts w:hint="eastAsia" w:ascii="等线" w:hAnsi="等线" w:eastAsia="仿宋" w:cs="仿宋"/>
          <w:sz w:val="28"/>
          <w:szCs w:val="28"/>
        </w:rPr>
        <w:t>、</w:t>
      </w:r>
      <w:r>
        <w:rPr>
          <w:rFonts w:ascii="等线" w:hAnsi="等线" w:eastAsia="仿宋" w:cs="仿宋"/>
          <w:sz w:val="28"/>
          <w:szCs w:val="28"/>
        </w:rPr>
        <w:t>50</w:t>
      </w:r>
      <w:r>
        <w:rPr>
          <w:rFonts w:hint="eastAsia" w:ascii="等线" w:hAnsi="等线" w:eastAsia="仿宋" w:cs="仿宋"/>
          <w:sz w:val="28"/>
          <w:szCs w:val="28"/>
        </w:rPr>
        <w:t>人，根据同比例公式计算可得第一类、第二类考生的计划数为71、24人。第一类考生计划数计算公式：95/（150+50）</w:t>
      </w:r>
      <w:r>
        <w:rPr>
          <w:rFonts w:hint="eastAsia" w:ascii="汉仪细圆B5" w:hAnsi="汉仪细圆B5" w:eastAsia="汉仪细圆B5" w:cs="汉仪细圆B5"/>
          <w:sz w:val="28"/>
          <w:szCs w:val="28"/>
        </w:rPr>
        <w:t>×150</w:t>
      </w:r>
      <w:r>
        <w:rPr>
          <w:rFonts w:hint="eastAsia" w:ascii="等线" w:hAnsi="等线" w:eastAsia="仿宋" w:cs="仿宋"/>
          <w:sz w:val="28"/>
          <w:szCs w:val="28"/>
        </w:rPr>
        <w:t>。各类别各专业计划确定后，录取过程中不再调整和追加。</w:t>
      </w:r>
    </w:p>
    <w:p w14:paraId="282C7F4F">
      <w:pPr>
        <w:widowControl/>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第二十</w:t>
      </w:r>
      <w:r>
        <w:rPr>
          <w:rFonts w:hint="eastAsia" w:ascii="等线" w:hAnsi="等线" w:eastAsia="仿宋" w:cs="仿宋"/>
          <w:b/>
          <w:bCs/>
          <w:sz w:val="28"/>
          <w:szCs w:val="28"/>
          <w:lang w:val="en-US" w:eastAsia="zh-CN"/>
        </w:rPr>
        <w:t>六</w:t>
      </w:r>
      <w:r>
        <w:rPr>
          <w:rFonts w:hint="eastAsia" w:ascii="等线" w:hAnsi="等线" w:eastAsia="仿宋" w:cs="仿宋"/>
          <w:b/>
          <w:bCs/>
          <w:sz w:val="28"/>
          <w:szCs w:val="28"/>
        </w:rPr>
        <w:t>条</w:t>
      </w:r>
      <w:r>
        <w:rPr>
          <w:rFonts w:hint="eastAsia" w:ascii="等线" w:hAnsi="等线" w:eastAsia="仿宋" w:cs="仿宋"/>
          <w:sz w:val="28"/>
          <w:szCs w:val="28"/>
        </w:rPr>
        <w:t xml:space="preserve"> 单招录取工作按照“学校负责、招办监督”的原则进行。各类别考生录取规则如下：</w:t>
      </w:r>
    </w:p>
    <w:p w14:paraId="126783FF">
      <w:pPr>
        <w:widowControl/>
        <w:shd w:val="clear" w:color="auto" w:fill="FFFFFF"/>
        <w:spacing w:line="500" w:lineRule="exact"/>
        <w:ind w:firstLine="560" w:firstLineChars="200"/>
        <w:jc w:val="left"/>
        <w:rPr>
          <w:rFonts w:hint="eastAsia" w:ascii="等线" w:hAnsi="等线" w:eastAsia="仿宋" w:cs="仿宋"/>
          <w:sz w:val="28"/>
          <w:szCs w:val="28"/>
        </w:rPr>
      </w:pPr>
      <w:r>
        <w:rPr>
          <w:rFonts w:hint="eastAsia" w:ascii="等线" w:hAnsi="等线" w:eastAsia="仿宋" w:cs="仿宋"/>
          <w:sz w:val="28"/>
          <w:szCs w:val="28"/>
          <w:lang w:val="en-US" w:eastAsia="zh-CN"/>
        </w:rPr>
        <w:t>1</w:t>
      </w:r>
      <w:r>
        <w:rPr>
          <w:rFonts w:hint="eastAsia" w:ascii="等线" w:hAnsi="等线" w:eastAsia="仿宋" w:cs="仿宋"/>
          <w:sz w:val="28"/>
          <w:szCs w:val="28"/>
        </w:rPr>
        <w:t>.艺术体育特长生。具体规则详见《湖南网络工程职业学院2025年体育特长生高职单招方案》。</w:t>
      </w:r>
    </w:p>
    <w:p w14:paraId="7363A9C2">
      <w:pPr>
        <w:widowControl/>
        <w:shd w:val="clear" w:color="auto" w:fill="FFFFFF"/>
        <w:spacing w:line="500" w:lineRule="exact"/>
        <w:ind w:firstLine="560"/>
        <w:jc w:val="left"/>
        <w:rPr>
          <w:rFonts w:hint="eastAsia" w:ascii="等线" w:hAnsi="等线" w:eastAsia="仿宋" w:cs="仿宋"/>
          <w:sz w:val="28"/>
          <w:szCs w:val="28"/>
        </w:rPr>
      </w:pPr>
      <w:r>
        <w:rPr>
          <w:rFonts w:hint="eastAsia" w:ascii="等线" w:hAnsi="等线" w:eastAsia="仿宋" w:cs="仿宋"/>
          <w:sz w:val="28"/>
          <w:szCs w:val="28"/>
          <w:lang w:val="en-US" w:eastAsia="zh-CN"/>
        </w:rPr>
        <w:t>2</w:t>
      </w:r>
      <w:r>
        <w:rPr>
          <w:rFonts w:hint="eastAsia" w:ascii="等线" w:hAnsi="等线" w:eastAsia="仿宋" w:cs="仿宋"/>
          <w:sz w:val="28"/>
          <w:szCs w:val="28"/>
        </w:rPr>
        <w:t>.普通类考生。依次按院校志愿、专业志愿优先的原则，根据各专业分类别招生计划数，依据考生所填报专业按综合成绩从高分到低分进行录取，录满为止。如遇生源不足，则对该专业所对应专业组内未录取且服从调剂的考生按综合成绩从高分到低分进行调剂录取。</w:t>
      </w:r>
    </w:p>
    <w:p w14:paraId="3982FA65">
      <w:pPr>
        <w:widowControl/>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第二十</w:t>
      </w:r>
      <w:r>
        <w:rPr>
          <w:rFonts w:hint="eastAsia" w:ascii="等线" w:hAnsi="等线" w:eastAsia="仿宋" w:cs="仿宋"/>
          <w:b/>
          <w:bCs/>
          <w:sz w:val="28"/>
          <w:szCs w:val="28"/>
          <w:lang w:val="en-US" w:eastAsia="zh-CN"/>
        </w:rPr>
        <w:t>七</w:t>
      </w:r>
      <w:r>
        <w:rPr>
          <w:rFonts w:hint="eastAsia" w:ascii="等线" w:hAnsi="等线" w:eastAsia="仿宋" w:cs="仿宋"/>
          <w:b/>
          <w:bCs/>
          <w:sz w:val="28"/>
          <w:szCs w:val="28"/>
        </w:rPr>
        <w:t>条</w:t>
      </w:r>
      <w:r>
        <w:rPr>
          <w:rFonts w:hint="eastAsia" w:ascii="等线" w:hAnsi="等线" w:eastAsia="仿宋" w:cs="仿宋"/>
          <w:sz w:val="28"/>
          <w:szCs w:val="28"/>
        </w:rPr>
        <w:t xml:space="preserve"> 对于末位同分的考生，依据以下排序原则进行录取。同分排序规则为：依次按职业技能测试成绩、学考语文、数学、外语科目有效成绩之和（文化素质测试总成绩）、学考语文、数学科目有效成绩之和（文化素质测试语文、数学科目成绩之和）、学考数学科目有效成绩（文化素质测试数学科目成绩）、学考语文科目有效成绩（文化素质测试语文科目成绩）、学考外语科目有效成绩（文化素质测试英语科目成绩）由高分到低分排序。</w:t>
      </w:r>
    </w:p>
    <w:p w14:paraId="7A7BDFD1">
      <w:pPr>
        <w:widowControl/>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第二十</w:t>
      </w:r>
      <w:r>
        <w:rPr>
          <w:rFonts w:hint="eastAsia" w:ascii="等线" w:hAnsi="等线" w:eastAsia="仿宋" w:cs="仿宋"/>
          <w:b/>
          <w:bCs/>
          <w:sz w:val="28"/>
          <w:szCs w:val="28"/>
          <w:lang w:val="en-US" w:eastAsia="zh-CN"/>
        </w:rPr>
        <w:t>八</w:t>
      </w:r>
      <w:r>
        <w:rPr>
          <w:rFonts w:hint="eastAsia" w:ascii="等线" w:hAnsi="等线" w:eastAsia="仿宋" w:cs="仿宋"/>
          <w:b/>
          <w:bCs/>
          <w:sz w:val="28"/>
          <w:szCs w:val="28"/>
        </w:rPr>
        <w:t xml:space="preserve">条  </w:t>
      </w:r>
      <w:r>
        <w:rPr>
          <w:rFonts w:hint="eastAsia" w:ascii="等线" w:hAnsi="等线" w:eastAsia="仿宋" w:cs="仿宋"/>
          <w:sz w:val="28"/>
          <w:szCs w:val="28"/>
        </w:rPr>
        <w:t>我校将通过招生网和官方公众号发布单招拟录取名单，拟录取考生需在我校规定时间内办理相关录取确认手续。</w:t>
      </w:r>
    </w:p>
    <w:p w14:paraId="13ECAE24">
      <w:pPr>
        <w:widowControl/>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第</w:t>
      </w:r>
      <w:r>
        <w:rPr>
          <w:rFonts w:hint="eastAsia" w:ascii="等线" w:hAnsi="等线" w:eastAsia="仿宋" w:cs="仿宋"/>
          <w:b/>
          <w:bCs/>
          <w:sz w:val="28"/>
          <w:szCs w:val="28"/>
          <w:lang w:val="en-US" w:eastAsia="zh-CN"/>
        </w:rPr>
        <w:t>二十九</w:t>
      </w:r>
      <w:r>
        <w:rPr>
          <w:rFonts w:hint="eastAsia" w:ascii="等线" w:hAnsi="等线" w:eastAsia="仿宋" w:cs="仿宋"/>
          <w:b/>
          <w:bCs/>
          <w:sz w:val="28"/>
          <w:szCs w:val="28"/>
        </w:rPr>
        <w:t>条</w:t>
      </w:r>
      <w:r>
        <w:rPr>
          <w:rFonts w:hint="eastAsia" w:ascii="等线" w:hAnsi="等线" w:eastAsia="仿宋" w:cs="仿宋"/>
          <w:sz w:val="28"/>
          <w:szCs w:val="28"/>
        </w:rPr>
        <w:t xml:space="preserve">  单招录取的学生不得参加本年度统一高考和普通高校对口招生考试。单招录取的学生不得转学，特殊情况需转专业的，须按照教育部和省教育厅有关规定和我校《湖南网络工程职业学院学籍管理制度》规定办理。</w:t>
      </w:r>
    </w:p>
    <w:p w14:paraId="5D6A773B">
      <w:pPr>
        <w:widowControl/>
        <w:shd w:val="clear" w:color="auto" w:fill="FFFFFF"/>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 xml:space="preserve">第三十条 </w:t>
      </w:r>
      <w:r>
        <w:rPr>
          <w:rFonts w:hint="eastAsia" w:ascii="等线" w:hAnsi="等线" w:eastAsia="仿宋" w:cs="仿宋"/>
          <w:sz w:val="28"/>
          <w:szCs w:val="28"/>
        </w:rPr>
        <w:t>单招第一志愿录取结束后，如有剩余专业计划，我校将向社会公布有缺额的专业及计划数，并组织第二志愿报考我校且未被第一志愿录取考生举行考试。第二志愿考试要求及录取规则等与第一志愿的相关规定一致。</w:t>
      </w:r>
    </w:p>
    <w:p w14:paraId="6719036D">
      <w:pPr>
        <w:widowControl/>
        <w:shd w:val="clear" w:color="auto" w:fill="FFFFFF"/>
        <w:spacing w:line="500" w:lineRule="exact"/>
        <w:ind w:firstLine="562" w:firstLineChars="200"/>
        <w:jc w:val="left"/>
        <w:rPr>
          <w:rFonts w:hint="eastAsia" w:ascii="等线" w:hAnsi="等线" w:eastAsia="仿宋" w:cs="仿宋"/>
          <w:sz w:val="28"/>
          <w:szCs w:val="28"/>
        </w:rPr>
      </w:pPr>
      <w:r>
        <w:rPr>
          <w:rFonts w:ascii="等线" w:hAnsi="等线" w:eastAsia="仿宋" w:cs="仿宋"/>
          <w:b/>
          <w:bCs/>
          <w:sz w:val="28"/>
          <w:szCs w:val="28"/>
        </w:rPr>
        <w:t>第三十</w:t>
      </w:r>
      <w:r>
        <w:rPr>
          <w:rFonts w:hint="eastAsia" w:ascii="等线" w:hAnsi="等线" w:eastAsia="仿宋" w:cs="仿宋"/>
          <w:b/>
          <w:bCs/>
          <w:sz w:val="28"/>
          <w:szCs w:val="28"/>
          <w:lang w:val="en-US" w:eastAsia="zh-CN"/>
        </w:rPr>
        <w:t>一</w:t>
      </w:r>
      <w:r>
        <w:rPr>
          <w:rFonts w:ascii="等线" w:hAnsi="等线" w:eastAsia="仿宋" w:cs="仿宋"/>
          <w:b/>
          <w:bCs/>
          <w:sz w:val="28"/>
          <w:szCs w:val="28"/>
        </w:rPr>
        <w:t>条</w:t>
      </w:r>
      <w:r>
        <w:rPr>
          <w:rFonts w:ascii="等线" w:hAnsi="等线" w:eastAsia="仿宋" w:cs="仿宋"/>
          <w:sz w:val="28"/>
          <w:szCs w:val="28"/>
        </w:rPr>
        <w:t xml:space="preserve"> 有下列情形之一者，将取消考生录取资格：</w:t>
      </w:r>
    </w:p>
    <w:p w14:paraId="1F3719B3">
      <w:pPr>
        <w:widowControl/>
        <w:shd w:val="clear" w:color="auto" w:fill="FFFFFF"/>
        <w:spacing w:line="500" w:lineRule="exact"/>
        <w:ind w:firstLine="560" w:firstLineChars="200"/>
        <w:jc w:val="left"/>
        <w:rPr>
          <w:rFonts w:hint="eastAsia" w:ascii="等线" w:hAnsi="等线" w:eastAsia="仿宋" w:cs="仿宋"/>
          <w:sz w:val="28"/>
          <w:szCs w:val="28"/>
        </w:rPr>
      </w:pPr>
      <w:r>
        <w:rPr>
          <w:rFonts w:ascii="等线" w:hAnsi="等线" w:eastAsia="仿宋" w:cs="仿宋"/>
          <w:sz w:val="28"/>
          <w:szCs w:val="28"/>
        </w:rPr>
        <w:t>1</w:t>
      </w:r>
      <w:r>
        <w:rPr>
          <w:rFonts w:hint="eastAsia" w:ascii="仿宋" w:hAnsi="仿宋" w:eastAsia="仿宋" w:cs="宋体"/>
          <w:kern w:val="0"/>
          <w:sz w:val="28"/>
        </w:rPr>
        <w:t>.</w:t>
      </w:r>
      <w:r>
        <w:rPr>
          <w:rFonts w:ascii="等线" w:hAnsi="等线" w:eastAsia="仿宋" w:cs="仿宋"/>
          <w:sz w:val="28"/>
          <w:szCs w:val="28"/>
        </w:rPr>
        <w:t>填报虚假高考报名信息；</w:t>
      </w:r>
    </w:p>
    <w:p w14:paraId="033D5547">
      <w:pPr>
        <w:widowControl/>
        <w:shd w:val="clear" w:color="auto" w:fill="FFFFFF"/>
        <w:spacing w:line="500" w:lineRule="exact"/>
        <w:ind w:firstLine="560" w:firstLineChars="200"/>
        <w:jc w:val="left"/>
        <w:rPr>
          <w:rFonts w:hint="eastAsia" w:ascii="等线" w:hAnsi="等线" w:eastAsia="仿宋" w:cs="仿宋"/>
          <w:sz w:val="28"/>
          <w:szCs w:val="28"/>
        </w:rPr>
      </w:pPr>
      <w:r>
        <w:rPr>
          <w:rFonts w:hint="eastAsia" w:ascii="等线" w:hAnsi="等线" w:eastAsia="仿宋" w:cs="仿宋"/>
          <w:sz w:val="28"/>
          <w:szCs w:val="28"/>
        </w:rPr>
        <w:t>2</w:t>
      </w:r>
      <w:r>
        <w:rPr>
          <w:rFonts w:hint="eastAsia" w:ascii="仿宋" w:hAnsi="仿宋" w:eastAsia="仿宋" w:cs="宋体"/>
          <w:kern w:val="0"/>
          <w:sz w:val="28"/>
        </w:rPr>
        <w:t>.</w:t>
      </w:r>
      <w:r>
        <w:rPr>
          <w:rFonts w:ascii="等线" w:hAnsi="等线" w:eastAsia="仿宋" w:cs="仿宋"/>
          <w:sz w:val="28"/>
          <w:szCs w:val="28"/>
        </w:rPr>
        <w:t>提供虚假的资格证明材料；</w:t>
      </w:r>
    </w:p>
    <w:p w14:paraId="47F276C5">
      <w:pPr>
        <w:widowControl/>
        <w:shd w:val="clear" w:color="auto" w:fill="FFFFFF"/>
        <w:spacing w:line="500" w:lineRule="exact"/>
        <w:ind w:firstLine="560" w:firstLineChars="200"/>
        <w:jc w:val="left"/>
        <w:rPr>
          <w:rFonts w:hint="eastAsia" w:ascii="等线" w:hAnsi="等线" w:eastAsia="仿宋" w:cs="仿宋"/>
          <w:sz w:val="28"/>
          <w:szCs w:val="28"/>
        </w:rPr>
      </w:pPr>
      <w:r>
        <w:rPr>
          <w:rFonts w:hint="eastAsia" w:ascii="仿宋" w:hAnsi="仿宋" w:eastAsia="仿宋" w:cs="宋体"/>
          <w:kern w:val="0"/>
          <w:sz w:val="28"/>
        </w:rPr>
        <w:t>3.</w:t>
      </w:r>
      <w:r>
        <w:rPr>
          <w:rFonts w:ascii="等线" w:hAnsi="等线" w:eastAsia="仿宋" w:cs="仿宋"/>
          <w:sz w:val="28"/>
          <w:szCs w:val="28"/>
        </w:rPr>
        <w:t>有缺考或舞弊、代考等行为；</w:t>
      </w:r>
    </w:p>
    <w:p w14:paraId="5280F6D1">
      <w:pPr>
        <w:widowControl/>
        <w:shd w:val="clear" w:color="auto" w:fill="FFFFFF"/>
        <w:spacing w:line="500" w:lineRule="exact"/>
        <w:ind w:firstLine="560" w:firstLineChars="200"/>
        <w:jc w:val="left"/>
        <w:rPr>
          <w:rFonts w:hint="eastAsia" w:ascii="等线" w:hAnsi="等线" w:eastAsia="仿宋" w:cs="仿宋"/>
          <w:sz w:val="28"/>
          <w:szCs w:val="28"/>
        </w:rPr>
      </w:pPr>
      <w:r>
        <w:rPr>
          <w:rFonts w:hint="eastAsia" w:ascii="仿宋" w:hAnsi="仿宋" w:eastAsia="仿宋" w:cs="宋体"/>
          <w:kern w:val="0"/>
          <w:sz w:val="28"/>
        </w:rPr>
        <w:t>4.</w:t>
      </w:r>
      <w:r>
        <w:rPr>
          <w:rFonts w:ascii="等线" w:hAnsi="等线" w:eastAsia="仿宋" w:cs="仿宋"/>
          <w:sz w:val="28"/>
          <w:szCs w:val="28"/>
        </w:rPr>
        <w:t>文化素质测试或职业技能测试科目成绩为零</w:t>
      </w:r>
      <w:r>
        <w:rPr>
          <w:rFonts w:hint="eastAsia" w:ascii="等线" w:hAnsi="等线" w:eastAsia="仿宋" w:cs="仿宋"/>
          <w:sz w:val="28"/>
          <w:szCs w:val="28"/>
        </w:rPr>
        <w:t>。</w:t>
      </w:r>
    </w:p>
    <w:p w14:paraId="247B05B2">
      <w:pPr>
        <w:widowControl/>
        <w:shd w:val="clear" w:color="auto" w:fill="FFFFFF"/>
        <w:spacing w:line="500" w:lineRule="exact"/>
        <w:ind w:firstLine="562" w:firstLineChars="200"/>
        <w:jc w:val="left"/>
        <w:rPr>
          <w:rFonts w:hint="eastAsia" w:ascii="等线" w:hAnsi="等线" w:eastAsia="仿宋" w:cs="仿宋"/>
          <w:sz w:val="28"/>
          <w:szCs w:val="28"/>
        </w:rPr>
      </w:pPr>
      <w:r>
        <w:rPr>
          <w:rFonts w:ascii="等线" w:hAnsi="等线" w:eastAsia="仿宋" w:cs="仿宋"/>
          <w:b/>
          <w:bCs/>
          <w:sz w:val="28"/>
          <w:szCs w:val="28"/>
        </w:rPr>
        <w:t>第三十</w:t>
      </w:r>
      <w:r>
        <w:rPr>
          <w:rFonts w:hint="eastAsia" w:ascii="等线" w:hAnsi="等线" w:eastAsia="仿宋" w:cs="仿宋"/>
          <w:b/>
          <w:bCs/>
          <w:sz w:val="28"/>
          <w:szCs w:val="28"/>
          <w:lang w:val="en-US" w:eastAsia="zh-CN"/>
        </w:rPr>
        <w:t>二</w:t>
      </w:r>
      <w:r>
        <w:rPr>
          <w:rFonts w:ascii="等线" w:hAnsi="等线" w:eastAsia="仿宋" w:cs="仿宋"/>
          <w:b/>
          <w:bCs/>
          <w:sz w:val="28"/>
          <w:szCs w:val="28"/>
        </w:rPr>
        <w:t>条</w:t>
      </w:r>
      <w:r>
        <w:rPr>
          <w:rFonts w:hint="eastAsia" w:ascii="等线" w:hAnsi="等线" w:eastAsia="仿宋" w:cs="仿宋"/>
          <w:b/>
          <w:bCs/>
          <w:sz w:val="28"/>
          <w:szCs w:val="28"/>
        </w:rPr>
        <w:t xml:space="preserve"> </w:t>
      </w:r>
      <w:r>
        <w:rPr>
          <w:rFonts w:ascii="等线" w:hAnsi="等线" w:eastAsia="仿宋" w:cs="仿宋"/>
          <w:sz w:val="28"/>
          <w:szCs w:val="28"/>
        </w:rPr>
        <w:t>正式录取名单以湖南省教育考试院审核备案通过的为准。</w:t>
      </w:r>
    </w:p>
    <w:p w14:paraId="7332DD3D">
      <w:pPr>
        <w:numPr>
          <w:ilvl w:val="0"/>
          <w:numId w:val="1"/>
        </w:numPr>
        <w:spacing w:before="156" w:beforeLines="50" w:after="156" w:afterLines="50" w:line="680" w:lineRule="exact"/>
        <w:jc w:val="center"/>
        <w:rPr>
          <w:rFonts w:hint="eastAsia" w:ascii="仿宋" w:hAnsi="仿宋" w:eastAsia="仿宋" w:cs="仿宋"/>
          <w:b/>
          <w:bCs/>
          <w:sz w:val="32"/>
          <w:szCs w:val="32"/>
        </w:rPr>
      </w:pPr>
      <w:r>
        <w:rPr>
          <w:rFonts w:hint="eastAsia" w:ascii="仿宋" w:hAnsi="仿宋" w:eastAsia="仿宋" w:cs="仿宋"/>
          <w:b/>
          <w:bCs/>
          <w:sz w:val="32"/>
          <w:szCs w:val="32"/>
        </w:rPr>
        <w:t>监督管理</w:t>
      </w:r>
    </w:p>
    <w:p w14:paraId="0DF3CE30">
      <w:pPr>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第三十</w:t>
      </w:r>
      <w:r>
        <w:rPr>
          <w:rFonts w:hint="eastAsia" w:ascii="等线" w:hAnsi="等线" w:eastAsia="仿宋" w:cs="仿宋"/>
          <w:b/>
          <w:bCs/>
          <w:sz w:val="28"/>
          <w:szCs w:val="28"/>
          <w:lang w:val="en-US" w:eastAsia="zh-CN"/>
        </w:rPr>
        <w:t>三</w:t>
      </w:r>
      <w:r>
        <w:rPr>
          <w:rFonts w:hint="eastAsia" w:ascii="等线" w:hAnsi="等线" w:eastAsia="仿宋" w:cs="仿宋"/>
          <w:b/>
          <w:bCs/>
          <w:sz w:val="28"/>
          <w:szCs w:val="28"/>
        </w:rPr>
        <w:t xml:space="preserve">条 </w:t>
      </w:r>
      <w:r>
        <w:rPr>
          <w:rFonts w:hint="eastAsia" w:ascii="等线" w:hAnsi="等线" w:eastAsia="仿宋" w:cs="仿宋"/>
          <w:sz w:val="28"/>
          <w:szCs w:val="28"/>
        </w:rPr>
        <w:t>单招考试及录取结束后，学校按照要求及时将考试结果及拟录取考生情况在学校官网公示。</w:t>
      </w:r>
    </w:p>
    <w:p w14:paraId="719D9B64">
      <w:pPr>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第三十</w:t>
      </w:r>
      <w:r>
        <w:rPr>
          <w:rFonts w:hint="eastAsia" w:ascii="等线" w:hAnsi="等线" w:eastAsia="仿宋" w:cs="仿宋"/>
          <w:b/>
          <w:bCs/>
          <w:sz w:val="28"/>
          <w:szCs w:val="28"/>
          <w:lang w:val="en-US" w:eastAsia="zh-CN"/>
        </w:rPr>
        <w:t>四</w:t>
      </w:r>
      <w:r>
        <w:rPr>
          <w:rFonts w:hint="eastAsia" w:ascii="等线" w:hAnsi="等线" w:eastAsia="仿宋" w:cs="仿宋"/>
          <w:b/>
          <w:bCs/>
          <w:sz w:val="28"/>
          <w:szCs w:val="28"/>
        </w:rPr>
        <w:t xml:space="preserve">条 </w:t>
      </w:r>
      <w:r>
        <w:rPr>
          <w:rFonts w:hint="eastAsia" w:ascii="等线" w:hAnsi="等线" w:eastAsia="仿宋" w:cs="仿宋"/>
          <w:sz w:val="28"/>
          <w:szCs w:val="28"/>
        </w:rPr>
        <w:t>单招期间，确保规范有序、公平公正，在学校纪委、监察专员办公室全程监督检查下进行单招考试、录取等工作。</w:t>
      </w:r>
    </w:p>
    <w:p w14:paraId="1CD80018">
      <w:pPr>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第三十</w:t>
      </w:r>
      <w:r>
        <w:rPr>
          <w:rFonts w:hint="eastAsia" w:ascii="等线" w:hAnsi="等线" w:eastAsia="仿宋" w:cs="仿宋"/>
          <w:b/>
          <w:bCs/>
          <w:sz w:val="28"/>
          <w:szCs w:val="28"/>
          <w:lang w:val="en-US" w:eastAsia="zh-CN"/>
        </w:rPr>
        <w:t>五</w:t>
      </w:r>
      <w:r>
        <w:rPr>
          <w:rFonts w:hint="eastAsia" w:ascii="等线" w:hAnsi="等线" w:eastAsia="仿宋" w:cs="仿宋"/>
          <w:b/>
          <w:bCs/>
          <w:sz w:val="28"/>
          <w:szCs w:val="28"/>
        </w:rPr>
        <w:t xml:space="preserve">条 </w:t>
      </w:r>
      <w:r>
        <w:rPr>
          <w:rFonts w:hint="eastAsia" w:ascii="等线" w:hAnsi="等线" w:eastAsia="仿宋" w:cs="仿宋"/>
          <w:sz w:val="28"/>
          <w:szCs w:val="28"/>
        </w:rPr>
        <w:t>学校单招工作严格执行教育部和省教育厅政策规定和纪律要求，没有举办所谓的考前“辅导班”“培训班”，没有与任何社会机构及人员进行单招合作。凡是有社会机构和个人宣传与我校有合作、可以通过“内部指标”等方式确保考生录取的，考生可第一时间向教育主管部门反映，遭受相关损失的可向公安机关反映。</w:t>
      </w:r>
    </w:p>
    <w:p w14:paraId="55BAC6A3">
      <w:pPr>
        <w:spacing w:line="50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rPr>
        <w:t>第三十</w:t>
      </w:r>
      <w:r>
        <w:rPr>
          <w:rFonts w:hint="eastAsia" w:ascii="等线" w:hAnsi="等线" w:eastAsia="仿宋" w:cs="仿宋"/>
          <w:b/>
          <w:bCs/>
          <w:sz w:val="28"/>
          <w:szCs w:val="28"/>
          <w:lang w:val="en-US" w:eastAsia="zh-CN"/>
        </w:rPr>
        <w:t>六</w:t>
      </w:r>
      <w:r>
        <w:rPr>
          <w:rFonts w:hint="eastAsia" w:ascii="等线" w:hAnsi="等线" w:eastAsia="仿宋" w:cs="仿宋"/>
          <w:b/>
          <w:bCs/>
          <w:sz w:val="28"/>
          <w:szCs w:val="28"/>
        </w:rPr>
        <w:t xml:space="preserve">条 </w:t>
      </w:r>
      <w:r>
        <w:rPr>
          <w:rFonts w:hint="eastAsia" w:ascii="等线" w:hAnsi="等线" w:eastAsia="仿宋" w:cs="仿宋"/>
          <w:sz w:val="28"/>
          <w:szCs w:val="28"/>
        </w:rPr>
        <w:t>我校将严格执行招生政策和招生纪律，对于在单招中违规的考生及工作人员，按《国家教育考试违规处理办法》（教育部令33号）和《普通高等学校招生违规行为处理暂行办法》（教育部令36号）所确定的程序和规定进行处理。欢迎考生、家长及社会对我校单招工作进行监督，我校的投诉举报电话为0731—82821717。</w:t>
      </w:r>
    </w:p>
    <w:p w14:paraId="2CE6047F">
      <w:pPr>
        <w:numPr>
          <w:ilvl w:val="0"/>
          <w:numId w:val="1"/>
        </w:numPr>
        <w:spacing w:before="156" w:beforeLines="50" w:after="156" w:afterLines="50" w:line="680" w:lineRule="exact"/>
        <w:jc w:val="center"/>
        <w:rPr>
          <w:rFonts w:hint="eastAsia" w:ascii="仿宋" w:hAnsi="仿宋" w:eastAsia="仿宋" w:cs="仿宋"/>
          <w:b/>
          <w:bCs/>
          <w:sz w:val="32"/>
          <w:szCs w:val="32"/>
        </w:rPr>
      </w:pPr>
      <w:r>
        <w:rPr>
          <w:rFonts w:hint="eastAsia" w:ascii="仿宋" w:hAnsi="仿宋" w:eastAsia="仿宋" w:cs="仿宋"/>
          <w:b/>
          <w:bCs/>
          <w:sz w:val="32"/>
          <w:szCs w:val="32"/>
        </w:rPr>
        <w:t>附则</w:t>
      </w:r>
    </w:p>
    <w:p w14:paraId="335D2592">
      <w:pPr>
        <w:pStyle w:val="2"/>
        <w:shd w:val="clear" w:color="auto" w:fill="FFFFFF"/>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第三十</w:t>
      </w:r>
      <w:r>
        <w:rPr>
          <w:rFonts w:hint="eastAsia" w:ascii="等线" w:hAnsi="等线" w:eastAsia="仿宋" w:cs="仿宋"/>
          <w:b/>
          <w:bCs/>
          <w:sz w:val="28"/>
          <w:szCs w:val="28"/>
          <w:lang w:val="en-US" w:eastAsia="zh-CN"/>
        </w:rPr>
        <w:t>七</w:t>
      </w:r>
      <w:r>
        <w:rPr>
          <w:rFonts w:hint="eastAsia" w:ascii="等线" w:hAnsi="等线" w:eastAsia="仿宋" w:cs="仿宋"/>
          <w:b/>
          <w:bCs/>
          <w:sz w:val="28"/>
          <w:szCs w:val="28"/>
        </w:rPr>
        <w:t>条</w:t>
      </w:r>
      <w:r>
        <w:rPr>
          <w:rFonts w:hint="eastAsia" w:ascii="等线" w:hAnsi="等线" w:eastAsia="仿宋" w:cs="仿宋"/>
          <w:sz w:val="28"/>
          <w:szCs w:val="28"/>
        </w:rPr>
        <w:t xml:space="preserve"> 所有专业对考生外语语种不作要求，学生入校后以英语语种作为外语安排教学。</w:t>
      </w:r>
    </w:p>
    <w:p w14:paraId="707AA557">
      <w:pPr>
        <w:pStyle w:val="2"/>
        <w:shd w:val="clear" w:color="auto" w:fill="FFFFFF"/>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第三十</w:t>
      </w:r>
      <w:r>
        <w:rPr>
          <w:rFonts w:hint="eastAsia" w:ascii="等线" w:hAnsi="等线" w:eastAsia="仿宋" w:cs="仿宋"/>
          <w:b/>
          <w:bCs/>
          <w:sz w:val="28"/>
          <w:szCs w:val="28"/>
          <w:lang w:val="en-US" w:eastAsia="zh-CN"/>
        </w:rPr>
        <w:t>八</w:t>
      </w:r>
      <w:r>
        <w:rPr>
          <w:rFonts w:hint="eastAsia" w:ascii="等线" w:hAnsi="等线" w:eastAsia="仿宋" w:cs="仿宋"/>
          <w:b/>
          <w:bCs/>
          <w:sz w:val="28"/>
          <w:szCs w:val="28"/>
        </w:rPr>
        <w:t>条</w:t>
      </w:r>
      <w:r>
        <w:rPr>
          <w:rFonts w:hint="eastAsia" w:ascii="等线" w:hAnsi="等线" w:eastAsia="仿宋" w:cs="仿宋"/>
          <w:sz w:val="28"/>
          <w:szCs w:val="28"/>
        </w:rPr>
        <w:t xml:space="preserve"> 学校建立包括新生绿色通道、助学贷款、助学金、奖学金、勤工助学、临时困难补助、服兵役学费补偿、学费减免在内的资助工作体系，实现家庭经济困难学生资助全覆盖。有关国家助学贷款、奖学金、助学金等助学措施按照教育部、湖南省和学校相关规定执行。</w:t>
      </w:r>
    </w:p>
    <w:p w14:paraId="0DD795C9">
      <w:pPr>
        <w:shd w:val="clear" w:color="auto" w:fill="FFFFFF"/>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第</w:t>
      </w:r>
      <w:r>
        <w:rPr>
          <w:rFonts w:hint="eastAsia" w:ascii="等线" w:hAnsi="等线" w:eastAsia="仿宋" w:cs="仿宋"/>
          <w:b/>
          <w:bCs/>
          <w:sz w:val="28"/>
          <w:szCs w:val="28"/>
          <w:lang w:val="en-US" w:eastAsia="zh-CN"/>
        </w:rPr>
        <w:t>三十九</w:t>
      </w:r>
      <w:r>
        <w:rPr>
          <w:rFonts w:hint="eastAsia" w:ascii="等线" w:hAnsi="等线" w:eastAsia="仿宋" w:cs="仿宋"/>
          <w:b/>
          <w:bCs/>
          <w:sz w:val="28"/>
          <w:szCs w:val="28"/>
        </w:rPr>
        <w:t xml:space="preserve">条 </w:t>
      </w:r>
      <w:r>
        <w:rPr>
          <w:rFonts w:hint="eastAsia" w:ascii="等线" w:hAnsi="等线" w:eastAsia="仿宋" w:cs="仿宋"/>
          <w:sz w:val="28"/>
          <w:szCs w:val="28"/>
        </w:rPr>
        <w:t>录取考生的体检标准按照教育部、卫生部、中国残疾人联合会颁布的《普通高等学校招生体检工作指导意见》及有关补充规定执行。</w:t>
      </w:r>
    </w:p>
    <w:p w14:paraId="797D70E6">
      <w:pPr>
        <w:shd w:val="clear" w:color="auto" w:fill="FFFFFF"/>
        <w:spacing w:line="500" w:lineRule="exact"/>
        <w:ind w:firstLine="562" w:firstLineChars="200"/>
        <w:rPr>
          <w:rFonts w:hint="eastAsia" w:ascii="等线" w:hAnsi="等线" w:eastAsia="仿宋" w:cs="仿宋"/>
          <w:b/>
          <w:bCs/>
          <w:sz w:val="32"/>
          <w:szCs w:val="32"/>
        </w:rPr>
      </w:pPr>
      <w:r>
        <w:rPr>
          <w:rFonts w:hint="eastAsia" w:ascii="等线" w:hAnsi="等线" w:eastAsia="仿宋" w:cs="仿宋"/>
          <w:b/>
          <w:bCs/>
          <w:sz w:val="28"/>
          <w:szCs w:val="28"/>
        </w:rPr>
        <w:t xml:space="preserve">第四十条 </w:t>
      </w:r>
      <w:r>
        <w:rPr>
          <w:rFonts w:hint="eastAsia" w:ascii="等线" w:hAnsi="等线" w:eastAsia="仿宋" w:cs="仿宋"/>
          <w:sz w:val="28"/>
          <w:szCs w:val="28"/>
        </w:rPr>
        <w:t>录取考生的思想政治品德考核和身体健康状况检查均采用考生报考普通高校招生考试或对口招生考试时所采集的信息，学生对提供的信息真实性负责。</w:t>
      </w:r>
    </w:p>
    <w:p w14:paraId="2EE999D9">
      <w:pPr>
        <w:shd w:val="clear" w:color="auto" w:fill="FFFFFF"/>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第四十</w:t>
      </w:r>
      <w:r>
        <w:rPr>
          <w:rFonts w:hint="eastAsia" w:ascii="等线" w:hAnsi="等线" w:eastAsia="仿宋" w:cs="仿宋"/>
          <w:b/>
          <w:bCs/>
          <w:sz w:val="28"/>
          <w:szCs w:val="28"/>
          <w:lang w:val="en-US" w:eastAsia="zh-CN"/>
        </w:rPr>
        <w:t>一</w:t>
      </w:r>
      <w:r>
        <w:rPr>
          <w:rFonts w:hint="eastAsia" w:ascii="等线" w:hAnsi="等线" w:eastAsia="仿宋" w:cs="仿宋"/>
          <w:b/>
          <w:bCs/>
          <w:sz w:val="28"/>
          <w:szCs w:val="28"/>
        </w:rPr>
        <w:t>条</w:t>
      </w:r>
      <w:r>
        <w:rPr>
          <w:rFonts w:hint="eastAsia" w:ascii="等线" w:hAnsi="等线" w:eastAsia="仿宋" w:cs="仿宋"/>
          <w:sz w:val="28"/>
          <w:szCs w:val="28"/>
        </w:rPr>
        <w:t xml:space="preserve"> 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55C15574">
      <w:pPr>
        <w:shd w:val="clear" w:color="auto" w:fill="FFFFFF"/>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第四十</w:t>
      </w:r>
      <w:r>
        <w:rPr>
          <w:rFonts w:hint="eastAsia" w:ascii="等线" w:hAnsi="等线" w:eastAsia="仿宋" w:cs="仿宋"/>
          <w:b/>
          <w:bCs/>
          <w:sz w:val="28"/>
          <w:szCs w:val="28"/>
          <w:lang w:val="en-US" w:eastAsia="zh-CN"/>
        </w:rPr>
        <w:t>二</w:t>
      </w:r>
      <w:r>
        <w:rPr>
          <w:rFonts w:hint="eastAsia" w:ascii="等线" w:hAnsi="等线" w:eastAsia="仿宋" w:cs="仿宋"/>
          <w:b/>
          <w:bCs/>
          <w:sz w:val="28"/>
          <w:szCs w:val="28"/>
        </w:rPr>
        <w:t>条</w:t>
      </w:r>
      <w:r>
        <w:rPr>
          <w:rFonts w:hint="eastAsia" w:ascii="等线" w:hAnsi="等线" w:eastAsia="仿宋" w:cs="仿宋"/>
          <w:sz w:val="28"/>
          <w:szCs w:val="28"/>
        </w:rPr>
        <w:t xml:space="preserve"> 本章程通过湖南省教育考试院和学院招生网、官方公众号向社会发布，对于各种媒体节选公布的章程内容，如理解有误，以学校公布的完整单独招生章程为准。</w:t>
      </w:r>
    </w:p>
    <w:p w14:paraId="6AA56DAF">
      <w:pPr>
        <w:pStyle w:val="2"/>
        <w:ind w:firstLine="562" w:firstLineChars="200"/>
        <w:rPr>
          <w:rFonts w:hint="eastAsia" w:ascii="等线" w:hAnsi="等线" w:eastAsia="仿宋" w:cs="仿宋"/>
          <w:sz w:val="28"/>
          <w:szCs w:val="28"/>
        </w:rPr>
      </w:pPr>
      <w:r>
        <w:rPr>
          <w:rFonts w:hint="eastAsia" w:ascii="等线" w:hAnsi="等线" w:eastAsia="仿宋" w:cs="仿宋"/>
          <w:b/>
          <w:bCs/>
          <w:sz w:val="28"/>
          <w:szCs w:val="28"/>
        </w:rPr>
        <w:t>第四十</w:t>
      </w:r>
      <w:r>
        <w:rPr>
          <w:rFonts w:hint="eastAsia" w:ascii="等线" w:hAnsi="等线" w:eastAsia="仿宋" w:cs="仿宋"/>
          <w:b/>
          <w:bCs/>
          <w:sz w:val="28"/>
          <w:szCs w:val="28"/>
          <w:lang w:val="en-US" w:eastAsia="zh-CN"/>
        </w:rPr>
        <w:t>三</w:t>
      </w:r>
      <w:r>
        <w:rPr>
          <w:rFonts w:hint="eastAsia" w:ascii="等线" w:hAnsi="等线" w:eastAsia="仿宋" w:cs="仿宋"/>
          <w:b/>
          <w:bCs/>
          <w:sz w:val="28"/>
          <w:szCs w:val="28"/>
        </w:rPr>
        <w:t xml:space="preserve">条 </w:t>
      </w:r>
      <w:r>
        <w:rPr>
          <w:rFonts w:hint="eastAsia" w:ascii="等线" w:hAnsi="等线" w:eastAsia="仿宋" w:cs="仿宋"/>
          <w:sz w:val="28"/>
          <w:szCs w:val="28"/>
        </w:rPr>
        <w:t>学校招生联系方式</w:t>
      </w:r>
    </w:p>
    <w:p w14:paraId="350A5641">
      <w:pPr>
        <w:pStyle w:val="2"/>
        <w:ind w:firstLine="0"/>
        <w:rPr>
          <w:rFonts w:hint="eastAsia" w:ascii="仿宋" w:hAnsi="仿宋" w:eastAsia="仿宋" w:cs="仿宋"/>
          <w:sz w:val="28"/>
          <w:szCs w:val="28"/>
        </w:rPr>
      </w:pPr>
      <w:r>
        <w:rPr>
          <w:rFonts w:hint="eastAsia" w:ascii="仿宋" w:hAnsi="仿宋" w:eastAsia="仿宋" w:cs="仿宋"/>
          <w:sz w:val="28"/>
          <w:szCs w:val="28"/>
        </w:rPr>
        <w:t xml:space="preserve">通信地址：湖南省长沙市芙蓉南路一段371号湖南网络工程职业学院                               </w:t>
      </w:r>
    </w:p>
    <w:p w14:paraId="413FB6B1">
      <w:pPr>
        <w:pStyle w:val="2"/>
        <w:ind w:firstLine="0"/>
        <w:rPr>
          <w:rFonts w:hint="eastAsia" w:ascii="仿宋" w:hAnsi="仿宋" w:eastAsia="仿宋" w:cs="仿宋"/>
          <w:sz w:val="28"/>
          <w:szCs w:val="28"/>
        </w:rPr>
      </w:pPr>
      <w:r>
        <w:rPr>
          <w:rFonts w:hint="eastAsia" w:ascii="仿宋" w:hAnsi="仿宋" w:eastAsia="仿宋" w:cs="仿宋"/>
          <w:sz w:val="28"/>
          <w:szCs w:val="28"/>
        </w:rPr>
        <w:t xml:space="preserve">邮政编码：410004                     </w:t>
      </w:r>
    </w:p>
    <w:p w14:paraId="5AE58B41">
      <w:pPr>
        <w:pStyle w:val="2"/>
        <w:ind w:firstLine="0"/>
        <w:rPr>
          <w:rFonts w:hint="eastAsia" w:ascii="仿宋" w:hAnsi="仿宋" w:eastAsia="仿宋" w:cs="仿宋"/>
          <w:sz w:val="28"/>
          <w:szCs w:val="28"/>
        </w:rPr>
      </w:pPr>
      <w:r>
        <w:rPr>
          <w:rFonts w:hint="eastAsia" w:ascii="仿宋" w:hAnsi="仿宋" w:eastAsia="仿宋" w:cs="仿宋"/>
          <w:sz w:val="28"/>
          <w:szCs w:val="28"/>
        </w:rPr>
        <w:t xml:space="preserve">招生咨询电话：0731-82821057                    </w:t>
      </w:r>
    </w:p>
    <w:p w14:paraId="1B46FE0A">
      <w:pPr>
        <w:pStyle w:val="2"/>
        <w:ind w:firstLine="0"/>
        <w:rPr>
          <w:rFonts w:hint="eastAsia" w:ascii="仿宋" w:hAnsi="仿宋" w:eastAsia="仿宋" w:cs="仿宋"/>
          <w:sz w:val="28"/>
          <w:szCs w:val="28"/>
        </w:rPr>
      </w:pPr>
      <w:r>
        <w:rPr>
          <w:rFonts w:hint="eastAsia" w:ascii="仿宋" w:hAnsi="仿宋" w:eastAsia="仿宋" w:cs="仿宋"/>
          <w:sz w:val="28"/>
          <w:szCs w:val="28"/>
        </w:rPr>
        <w:t xml:space="preserve">招生咨询邮箱：434953624@qq.com                          </w:t>
      </w:r>
    </w:p>
    <w:p w14:paraId="2A2CDF8A">
      <w:pPr>
        <w:pStyle w:val="2"/>
        <w:ind w:firstLine="0"/>
        <w:rPr>
          <w:rFonts w:hint="eastAsia" w:ascii="仿宋" w:hAnsi="仿宋" w:eastAsia="仿宋" w:cs="仿宋"/>
          <w:sz w:val="28"/>
          <w:szCs w:val="28"/>
        </w:rPr>
      </w:pPr>
      <w:r>
        <w:rPr>
          <w:rFonts w:hint="eastAsia" w:ascii="仿宋" w:hAnsi="仿宋" w:eastAsia="仿宋" w:cs="仿宋"/>
          <w:sz w:val="28"/>
          <w:szCs w:val="28"/>
        </w:rPr>
        <w:t xml:space="preserve">招生信息发布网址：https://www.hnou.edu.cn/sites/html/wyzs/ </w:t>
      </w:r>
    </w:p>
    <w:p w14:paraId="5E2B0D16">
      <w:pPr>
        <w:pStyle w:val="2"/>
        <w:ind w:firstLine="0"/>
        <w:rPr>
          <w:rFonts w:hint="eastAsia" w:ascii="等线" w:hAnsi="等线" w:eastAsia="仿宋" w:cs="仿宋"/>
          <w:sz w:val="28"/>
          <w:szCs w:val="28"/>
        </w:rPr>
      </w:pPr>
      <w:r>
        <w:rPr>
          <w:rFonts w:hint="eastAsia" w:ascii="仿宋" w:hAnsi="仿宋" w:eastAsia="仿宋" w:cs="仿宋"/>
          <w:sz w:val="28"/>
          <w:szCs w:val="28"/>
        </w:rPr>
        <w:t xml:space="preserve">监督投诉电话：0731-82821717  </w:t>
      </w:r>
      <w:r>
        <w:rPr>
          <w:rFonts w:hint="eastAsia" w:ascii="等线" w:hAnsi="等线" w:eastAsia="仿宋" w:cs="仿宋"/>
          <w:sz w:val="28"/>
          <w:szCs w:val="28"/>
        </w:rPr>
        <w:t xml:space="preserve">                      </w:t>
      </w:r>
    </w:p>
    <w:p w14:paraId="2CDB94E7">
      <w:pPr>
        <w:shd w:val="clear" w:color="auto" w:fill="FFFFFF"/>
        <w:spacing w:line="50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rPr>
        <w:t>第四十</w:t>
      </w:r>
      <w:r>
        <w:rPr>
          <w:rFonts w:hint="eastAsia" w:ascii="等线" w:hAnsi="等线" w:eastAsia="仿宋" w:cs="仿宋"/>
          <w:b/>
          <w:bCs/>
          <w:sz w:val="28"/>
          <w:szCs w:val="28"/>
          <w:lang w:val="en-US" w:eastAsia="zh-CN"/>
        </w:rPr>
        <w:t>四</w:t>
      </w:r>
      <w:r>
        <w:rPr>
          <w:rFonts w:hint="eastAsia" w:ascii="等线" w:hAnsi="等线" w:eastAsia="仿宋" w:cs="仿宋"/>
          <w:b/>
          <w:bCs/>
          <w:sz w:val="28"/>
          <w:szCs w:val="28"/>
        </w:rPr>
        <w:t>条</w:t>
      </w:r>
      <w:r>
        <w:rPr>
          <w:rFonts w:hint="eastAsia" w:ascii="等线" w:hAnsi="等线" w:eastAsia="仿宋" w:cs="仿宋"/>
          <w:sz w:val="28"/>
          <w:szCs w:val="28"/>
        </w:rPr>
        <w:t xml:space="preserve"> 本章程适用于我校2025年湖南省单招。其解释权属于湖南网络工程职业学院。如遇教育部、湖南省教育厅相关招生政策调整，以公布的最新政策为准。</w:t>
      </w:r>
    </w:p>
    <w:bookmarkEnd w:id="0"/>
    <w:p w14:paraId="54E9B76D">
      <w:pPr>
        <w:numPr>
          <w:ilvl w:val="255"/>
          <w:numId w:val="0"/>
        </w:numPr>
        <w:shd w:val="clear" w:color="auto" w:fill="FFFFFF"/>
        <w:spacing w:line="500" w:lineRule="exact"/>
        <w:ind w:firstLine="560" w:firstLineChars="200"/>
        <w:rPr>
          <w:rFonts w:hint="eastAsia" w:ascii="等线" w:hAnsi="等线" w:eastAsia="仿宋" w:cs="仿宋"/>
          <w:sz w:val="28"/>
          <w:szCs w:val="28"/>
        </w:rPr>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embedRegular r:id="rId1" w:fontKey="{F8D819E0-1C30-4A8A-ABDF-664BF7177823}"/>
  </w:font>
  <w:font w:name="华文中宋">
    <w:panose1 w:val="02010600040101010101"/>
    <w:charset w:val="86"/>
    <w:family w:val="auto"/>
    <w:pitch w:val="default"/>
    <w:sig w:usb0="00000287" w:usb1="080F0000" w:usb2="00000000" w:usb3="00000000" w:csb0="0004009F" w:csb1="DFD70000"/>
    <w:embedRegular r:id="rId2" w:fontKey="{CEA61222-2B44-4310-9106-8728F10FEF76}"/>
  </w:font>
  <w:font w:name="仿宋">
    <w:panose1 w:val="02010609060101010101"/>
    <w:charset w:val="86"/>
    <w:family w:val="modern"/>
    <w:pitch w:val="default"/>
    <w:sig w:usb0="800002BF" w:usb1="38CF7CFA" w:usb2="00000016" w:usb3="00000000" w:csb0="00040001" w:csb1="00000000"/>
    <w:embedRegular r:id="rId3" w:fontKey="{F6C3AA90-38AB-4713-907A-CEE361D7B7F4}"/>
  </w:font>
  <w:font w:name="方正小标宋简体">
    <w:altName w:val="方正舒体"/>
    <w:panose1 w:val="00000000000000000000"/>
    <w:charset w:val="86"/>
    <w:family w:val="auto"/>
    <w:pitch w:val="default"/>
    <w:sig w:usb0="00000000" w:usb1="00000000" w:usb2="00000000" w:usb3="00000000" w:csb0="00040000" w:csb1="00000000"/>
    <w:embedRegular r:id="rId4" w:fontKey="{F0DA5DE2-8782-4346-B9C2-7D3B37004F8E}"/>
  </w:font>
  <w:font w:name="方正舒体">
    <w:panose1 w:val="02010601030101010101"/>
    <w:charset w:val="86"/>
    <w:family w:val="auto"/>
    <w:pitch w:val="default"/>
    <w:sig w:usb0="00000003" w:usb1="080E0000" w:usb2="00000000" w:usb3="00000000" w:csb0="00040000" w:csb1="00000000"/>
  </w:font>
  <w:font w:name="汉仪细圆B5">
    <w:altName w:val="仿宋"/>
    <w:panose1 w:val="00000000000000000000"/>
    <w:charset w:val="00"/>
    <w:family w:val="auto"/>
    <w:pitch w:val="default"/>
    <w:sig w:usb0="00000000" w:usb1="00000000" w:usb2="00000000" w:usb3="00000000" w:csb0="00000000" w:csb1="00000000"/>
    <w:embedRegular r:id="rId5" w:fontKey="{C8B10EF0-502A-4A22-8874-48B432461FD2}"/>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9544A1">
    <w:pPr>
      <w:pStyle w:val="7"/>
      <w:jc w:val="center"/>
    </w:pPr>
    <w:r>
      <w:fldChar w:fldCharType="begin"/>
    </w:r>
    <w:r>
      <w:instrText xml:space="preserve">PAGE   \* MERGEFORMAT</w:instrText>
    </w:r>
    <w:r>
      <w:fldChar w:fldCharType="separate"/>
    </w:r>
    <w:r>
      <w:t>11</w:t>
    </w:r>
    <w:r>
      <w:fldChar w:fldCharType="end"/>
    </w:r>
  </w:p>
  <w:p w14:paraId="61FFD823">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280B5B">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C13600"/>
    <w:multiLevelType w:val="singleLevel"/>
    <w:tmpl w:val="DEC13600"/>
    <w:lvl w:ilvl="0" w:tentative="0">
      <w:start w:val="1"/>
      <w:numFmt w:val="chineseCounting"/>
      <w:suff w:val="space"/>
      <w:lvlText w:val="第%1章"/>
      <w:lvlJc w:val="left"/>
      <w:rPr>
        <w:rFonts w:hint="eastAsia"/>
      </w:rPr>
    </w:lvl>
  </w:abstractNum>
  <w:abstractNum w:abstractNumId="1">
    <w:nsid w:val="E382D66B"/>
    <w:multiLevelType w:val="singleLevel"/>
    <w:tmpl w:val="E382D66B"/>
    <w:lvl w:ilvl="0" w:tentative="0">
      <w:start w:val="1"/>
      <w:numFmt w:val="chineseCounting"/>
      <w:suff w:val="space"/>
      <w:lvlText w:val="第%1条"/>
      <w:lvlJc w:val="left"/>
      <w:rPr>
        <w:rFonts w:hint="eastAsia"/>
        <w:b/>
        <w:color w:val="auto"/>
        <w:lang w:val="en-US"/>
      </w:rPr>
    </w:lvl>
  </w:abstractNum>
  <w:abstractNum w:abstractNumId="2">
    <w:nsid w:val="0C958847"/>
    <w:multiLevelType w:val="singleLevel"/>
    <w:tmpl w:val="0C958847"/>
    <w:lvl w:ilvl="0" w:tentative="0">
      <w:start w:val="10"/>
      <w:numFmt w:val="chineseCounting"/>
      <w:suff w:val="space"/>
      <w:lvlText w:val="第%1条"/>
      <w:lvlJc w:val="left"/>
      <w:rPr>
        <w:rFonts w:hint="eastAsia"/>
        <w:b/>
        <w:bCs/>
        <w:color w:val="auto"/>
      </w:rPr>
    </w:lvl>
  </w:abstractNum>
  <w:abstractNum w:abstractNumId="3">
    <w:nsid w:val="37136D0A"/>
    <w:multiLevelType w:val="singleLevel"/>
    <w:tmpl w:val="37136D0A"/>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TrueTypeFonts/>
  <w:saveSubsetFonts/>
  <w:bordersDoNotSurroundHeader w:val="1"/>
  <w:bordersDoNotSurroundFooter w:val="1"/>
  <w:documentProtection w:enforcement="0"/>
  <w:defaultTabStop w:val="420"/>
  <w:drawingGridVerticalSpacing w:val="156"/>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NmJhODExYTYyMWEwODQxYjUyODNkZmFhMGViYTJlYWIifQ=="/>
  </w:docVars>
  <w:rsids>
    <w:rsidRoot w:val="00054A07"/>
    <w:rsid w:val="00010C7C"/>
    <w:rsid w:val="000130A7"/>
    <w:rsid w:val="000278C3"/>
    <w:rsid w:val="00037508"/>
    <w:rsid w:val="000421E8"/>
    <w:rsid w:val="00044EF2"/>
    <w:rsid w:val="000474FF"/>
    <w:rsid w:val="0005198F"/>
    <w:rsid w:val="00051CCC"/>
    <w:rsid w:val="00054A07"/>
    <w:rsid w:val="00061B30"/>
    <w:rsid w:val="000626A5"/>
    <w:rsid w:val="000702EF"/>
    <w:rsid w:val="00071A9C"/>
    <w:rsid w:val="000729DD"/>
    <w:rsid w:val="000755A7"/>
    <w:rsid w:val="000861D5"/>
    <w:rsid w:val="00086312"/>
    <w:rsid w:val="000917EF"/>
    <w:rsid w:val="000924F1"/>
    <w:rsid w:val="0009594F"/>
    <w:rsid w:val="000A23C9"/>
    <w:rsid w:val="000B059A"/>
    <w:rsid w:val="000B7D0E"/>
    <w:rsid w:val="000C17D8"/>
    <w:rsid w:val="000C2961"/>
    <w:rsid w:val="000D548C"/>
    <w:rsid w:val="000D6CA2"/>
    <w:rsid w:val="000E3A7D"/>
    <w:rsid w:val="000E57AF"/>
    <w:rsid w:val="000E7D20"/>
    <w:rsid w:val="00102754"/>
    <w:rsid w:val="001068B1"/>
    <w:rsid w:val="00111490"/>
    <w:rsid w:val="00114C60"/>
    <w:rsid w:val="00117B92"/>
    <w:rsid w:val="00142C97"/>
    <w:rsid w:val="00144114"/>
    <w:rsid w:val="0015641C"/>
    <w:rsid w:val="00165805"/>
    <w:rsid w:val="00173708"/>
    <w:rsid w:val="001747A9"/>
    <w:rsid w:val="001777A6"/>
    <w:rsid w:val="00192EF1"/>
    <w:rsid w:val="001948F5"/>
    <w:rsid w:val="0019741D"/>
    <w:rsid w:val="001A1D23"/>
    <w:rsid w:val="001A31F5"/>
    <w:rsid w:val="001A4A92"/>
    <w:rsid w:val="001C15F1"/>
    <w:rsid w:val="001C5E53"/>
    <w:rsid w:val="001D274B"/>
    <w:rsid w:val="001D7D09"/>
    <w:rsid w:val="001E1249"/>
    <w:rsid w:val="001F01C6"/>
    <w:rsid w:val="001F108D"/>
    <w:rsid w:val="001F7B8C"/>
    <w:rsid w:val="00203AEF"/>
    <w:rsid w:val="00205BFB"/>
    <w:rsid w:val="00206CAB"/>
    <w:rsid w:val="002078F5"/>
    <w:rsid w:val="00215533"/>
    <w:rsid w:val="00222848"/>
    <w:rsid w:val="002254D9"/>
    <w:rsid w:val="00234926"/>
    <w:rsid w:val="00237E95"/>
    <w:rsid w:val="0024457C"/>
    <w:rsid w:val="00246E78"/>
    <w:rsid w:val="0025235B"/>
    <w:rsid w:val="0025254F"/>
    <w:rsid w:val="002547D9"/>
    <w:rsid w:val="0025608D"/>
    <w:rsid w:val="002616ED"/>
    <w:rsid w:val="00280E90"/>
    <w:rsid w:val="00281D85"/>
    <w:rsid w:val="002838FD"/>
    <w:rsid w:val="00283C77"/>
    <w:rsid w:val="00290998"/>
    <w:rsid w:val="002953A3"/>
    <w:rsid w:val="00295433"/>
    <w:rsid w:val="00296707"/>
    <w:rsid w:val="002A2198"/>
    <w:rsid w:val="002A656D"/>
    <w:rsid w:val="002B1196"/>
    <w:rsid w:val="002B1951"/>
    <w:rsid w:val="002B4BD2"/>
    <w:rsid w:val="002B73BC"/>
    <w:rsid w:val="002C1686"/>
    <w:rsid w:val="002C179E"/>
    <w:rsid w:val="002C3D34"/>
    <w:rsid w:val="002C46AE"/>
    <w:rsid w:val="002D1876"/>
    <w:rsid w:val="002D1A8E"/>
    <w:rsid w:val="002D1B3F"/>
    <w:rsid w:val="002E6A8B"/>
    <w:rsid w:val="002F15DF"/>
    <w:rsid w:val="002F6E75"/>
    <w:rsid w:val="00300868"/>
    <w:rsid w:val="00301365"/>
    <w:rsid w:val="00312652"/>
    <w:rsid w:val="003156E6"/>
    <w:rsid w:val="00317F7E"/>
    <w:rsid w:val="00322F07"/>
    <w:rsid w:val="0032454B"/>
    <w:rsid w:val="00325D41"/>
    <w:rsid w:val="003334D3"/>
    <w:rsid w:val="00336CD3"/>
    <w:rsid w:val="00345B4A"/>
    <w:rsid w:val="003477B8"/>
    <w:rsid w:val="003478CA"/>
    <w:rsid w:val="003504D6"/>
    <w:rsid w:val="00352B69"/>
    <w:rsid w:val="00363579"/>
    <w:rsid w:val="003639D7"/>
    <w:rsid w:val="00366677"/>
    <w:rsid w:val="00385889"/>
    <w:rsid w:val="003B1510"/>
    <w:rsid w:val="003C20A1"/>
    <w:rsid w:val="003C7CD4"/>
    <w:rsid w:val="003D0404"/>
    <w:rsid w:val="003D6018"/>
    <w:rsid w:val="003E1268"/>
    <w:rsid w:val="003E2026"/>
    <w:rsid w:val="003E34C3"/>
    <w:rsid w:val="003E370A"/>
    <w:rsid w:val="003E3C62"/>
    <w:rsid w:val="003F026A"/>
    <w:rsid w:val="003F0EE2"/>
    <w:rsid w:val="0040496C"/>
    <w:rsid w:val="0040616E"/>
    <w:rsid w:val="00414BD9"/>
    <w:rsid w:val="00415EE7"/>
    <w:rsid w:val="0041659D"/>
    <w:rsid w:val="00422A80"/>
    <w:rsid w:val="0042326E"/>
    <w:rsid w:val="00423E52"/>
    <w:rsid w:val="00424F42"/>
    <w:rsid w:val="00425FA2"/>
    <w:rsid w:val="0043606A"/>
    <w:rsid w:val="00436555"/>
    <w:rsid w:val="00436D6E"/>
    <w:rsid w:val="0043733D"/>
    <w:rsid w:val="0044104A"/>
    <w:rsid w:val="00444072"/>
    <w:rsid w:val="00444B4E"/>
    <w:rsid w:val="00445311"/>
    <w:rsid w:val="00447A99"/>
    <w:rsid w:val="00451C06"/>
    <w:rsid w:val="0045282C"/>
    <w:rsid w:val="00463BB2"/>
    <w:rsid w:val="0046746D"/>
    <w:rsid w:val="004718EE"/>
    <w:rsid w:val="0047761D"/>
    <w:rsid w:val="00480C9D"/>
    <w:rsid w:val="00484EA8"/>
    <w:rsid w:val="00491625"/>
    <w:rsid w:val="00493788"/>
    <w:rsid w:val="00496C01"/>
    <w:rsid w:val="004B246B"/>
    <w:rsid w:val="004C21B7"/>
    <w:rsid w:val="004C233F"/>
    <w:rsid w:val="004C3B09"/>
    <w:rsid w:val="004D4E4B"/>
    <w:rsid w:val="004D6194"/>
    <w:rsid w:val="004E0C54"/>
    <w:rsid w:val="004E2B8D"/>
    <w:rsid w:val="004F10CE"/>
    <w:rsid w:val="004F4631"/>
    <w:rsid w:val="004F4C5B"/>
    <w:rsid w:val="004F5CC1"/>
    <w:rsid w:val="00505DE9"/>
    <w:rsid w:val="00506637"/>
    <w:rsid w:val="0051056E"/>
    <w:rsid w:val="005136C5"/>
    <w:rsid w:val="00514101"/>
    <w:rsid w:val="00517A34"/>
    <w:rsid w:val="00526A07"/>
    <w:rsid w:val="00540B5B"/>
    <w:rsid w:val="00542E96"/>
    <w:rsid w:val="00550F5C"/>
    <w:rsid w:val="005623AF"/>
    <w:rsid w:val="005672A7"/>
    <w:rsid w:val="005674AB"/>
    <w:rsid w:val="00567CC0"/>
    <w:rsid w:val="00571FD2"/>
    <w:rsid w:val="005755FC"/>
    <w:rsid w:val="005813FA"/>
    <w:rsid w:val="00593F9A"/>
    <w:rsid w:val="00596FAB"/>
    <w:rsid w:val="00597F9E"/>
    <w:rsid w:val="005A11F7"/>
    <w:rsid w:val="005A39B9"/>
    <w:rsid w:val="005A4D28"/>
    <w:rsid w:val="005A6BB8"/>
    <w:rsid w:val="005C0B42"/>
    <w:rsid w:val="005C278B"/>
    <w:rsid w:val="005C2FA0"/>
    <w:rsid w:val="005C4245"/>
    <w:rsid w:val="005C52E1"/>
    <w:rsid w:val="005D2854"/>
    <w:rsid w:val="005D4B01"/>
    <w:rsid w:val="005D633C"/>
    <w:rsid w:val="005D7A14"/>
    <w:rsid w:val="005E220A"/>
    <w:rsid w:val="005F293D"/>
    <w:rsid w:val="006050A7"/>
    <w:rsid w:val="00611A82"/>
    <w:rsid w:val="0061777F"/>
    <w:rsid w:val="00622126"/>
    <w:rsid w:val="00625D13"/>
    <w:rsid w:val="006262FA"/>
    <w:rsid w:val="00633FB6"/>
    <w:rsid w:val="00642C5E"/>
    <w:rsid w:val="006538A2"/>
    <w:rsid w:val="00654BA4"/>
    <w:rsid w:val="006552C1"/>
    <w:rsid w:val="00662952"/>
    <w:rsid w:val="0066610C"/>
    <w:rsid w:val="00674235"/>
    <w:rsid w:val="00674BC3"/>
    <w:rsid w:val="00676C6B"/>
    <w:rsid w:val="00680F8F"/>
    <w:rsid w:val="00680FCA"/>
    <w:rsid w:val="006827A2"/>
    <w:rsid w:val="0068619E"/>
    <w:rsid w:val="00686F6D"/>
    <w:rsid w:val="00687E4D"/>
    <w:rsid w:val="0069057F"/>
    <w:rsid w:val="006908FD"/>
    <w:rsid w:val="0069281D"/>
    <w:rsid w:val="00693A91"/>
    <w:rsid w:val="0069497F"/>
    <w:rsid w:val="006A0C18"/>
    <w:rsid w:val="006A33F4"/>
    <w:rsid w:val="006A4725"/>
    <w:rsid w:val="006B1060"/>
    <w:rsid w:val="006B2ED2"/>
    <w:rsid w:val="006B4FEC"/>
    <w:rsid w:val="006B5AA0"/>
    <w:rsid w:val="006B5B90"/>
    <w:rsid w:val="006B7884"/>
    <w:rsid w:val="006C1AAF"/>
    <w:rsid w:val="006C2502"/>
    <w:rsid w:val="006C61B4"/>
    <w:rsid w:val="006C6C9D"/>
    <w:rsid w:val="006E25E0"/>
    <w:rsid w:val="006E3B04"/>
    <w:rsid w:val="006E459C"/>
    <w:rsid w:val="006E4A9E"/>
    <w:rsid w:val="006E6B29"/>
    <w:rsid w:val="006E7594"/>
    <w:rsid w:val="006F0041"/>
    <w:rsid w:val="006F1FE6"/>
    <w:rsid w:val="006F2544"/>
    <w:rsid w:val="006F6CBC"/>
    <w:rsid w:val="007104D8"/>
    <w:rsid w:val="00720E6D"/>
    <w:rsid w:val="00721206"/>
    <w:rsid w:val="00723794"/>
    <w:rsid w:val="0072707E"/>
    <w:rsid w:val="007323F4"/>
    <w:rsid w:val="00741D3E"/>
    <w:rsid w:val="00751F8B"/>
    <w:rsid w:val="0076137E"/>
    <w:rsid w:val="00765861"/>
    <w:rsid w:val="0077248A"/>
    <w:rsid w:val="0077282E"/>
    <w:rsid w:val="00773631"/>
    <w:rsid w:val="00781CB5"/>
    <w:rsid w:val="00783FFC"/>
    <w:rsid w:val="007849AC"/>
    <w:rsid w:val="007862C6"/>
    <w:rsid w:val="0078775A"/>
    <w:rsid w:val="00790CAF"/>
    <w:rsid w:val="00790F2E"/>
    <w:rsid w:val="007911CF"/>
    <w:rsid w:val="00791D25"/>
    <w:rsid w:val="00792D07"/>
    <w:rsid w:val="00793B0F"/>
    <w:rsid w:val="007A2971"/>
    <w:rsid w:val="007B30EA"/>
    <w:rsid w:val="007B37A6"/>
    <w:rsid w:val="007C0EBD"/>
    <w:rsid w:val="007C17F6"/>
    <w:rsid w:val="007C696A"/>
    <w:rsid w:val="007E06EB"/>
    <w:rsid w:val="007E08DC"/>
    <w:rsid w:val="007F0B20"/>
    <w:rsid w:val="007F15BD"/>
    <w:rsid w:val="007F203F"/>
    <w:rsid w:val="007F4445"/>
    <w:rsid w:val="007F4A39"/>
    <w:rsid w:val="00802CDC"/>
    <w:rsid w:val="008045A3"/>
    <w:rsid w:val="0080603D"/>
    <w:rsid w:val="00810919"/>
    <w:rsid w:val="00810E67"/>
    <w:rsid w:val="00820714"/>
    <w:rsid w:val="00832524"/>
    <w:rsid w:val="008410F8"/>
    <w:rsid w:val="008427B2"/>
    <w:rsid w:val="00842C7D"/>
    <w:rsid w:val="008433D6"/>
    <w:rsid w:val="00850151"/>
    <w:rsid w:val="008511D6"/>
    <w:rsid w:val="00860EE2"/>
    <w:rsid w:val="0087167F"/>
    <w:rsid w:val="00874BB2"/>
    <w:rsid w:val="00874C6C"/>
    <w:rsid w:val="00880E98"/>
    <w:rsid w:val="00883BF2"/>
    <w:rsid w:val="008911F1"/>
    <w:rsid w:val="00893649"/>
    <w:rsid w:val="008A2AF6"/>
    <w:rsid w:val="008A7CF8"/>
    <w:rsid w:val="008B3681"/>
    <w:rsid w:val="008B5F68"/>
    <w:rsid w:val="008D2FAF"/>
    <w:rsid w:val="008D7022"/>
    <w:rsid w:val="008E1EE5"/>
    <w:rsid w:val="008E279E"/>
    <w:rsid w:val="008F68ED"/>
    <w:rsid w:val="00903C5F"/>
    <w:rsid w:val="00906871"/>
    <w:rsid w:val="00910D26"/>
    <w:rsid w:val="00911306"/>
    <w:rsid w:val="00913F7E"/>
    <w:rsid w:val="00916342"/>
    <w:rsid w:val="0092411D"/>
    <w:rsid w:val="00924BEA"/>
    <w:rsid w:val="009335C4"/>
    <w:rsid w:val="00936996"/>
    <w:rsid w:val="0094668D"/>
    <w:rsid w:val="00946C62"/>
    <w:rsid w:val="00952D4C"/>
    <w:rsid w:val="009540B3"/>
    <w:rsid w:val="009564F3"/>
    <w:rsid w:val="00965985"/>
    <w:rsid w:val="009673BF"/>
    <w:rsid w:val="009705DB"/>
    <w:rsid w:val="0097117C"/>
    <w:rsid w:val="009850BE"/>
    <w:rsid w:val="00986168"/>
    <w:rsid w:val="00991464"/>
    <w:rsid w:val="009916C8"/>
    <w:rsid w:val="0099382F"/>
    <w:rsid w:val="0099595D"/>
    <w:rsid w:val="00997052"/>
    <w:rsid w:val="009A5857"/>
    <w:rsid w:val="009A7430"/>
    <w:rsid w:val="009B0F7A"/>
    <w:rsid w:val="009B58D4"/>
    <w:rsid w:val="009C0D1A"/>
    <w:rsid w:val="009C22A6"/>
    <w:rsid w:val="009C36BB"/>
    <w:rsid w:val="009C7BD4"/>
    <w:rsid w:val="009D0C8D"/>
    <w:rsid w:val="009D36A8"/>
    <w:rsid w:val="009E0606"/>
    <w:rsid w:val="009F05E3"/>
    <w:rsid w:val="009F152E"/>
    <w:rsid w:val="009F60E3"/>
    <w:rsid w:val="00A019A8"/>
    <w:rsid w:val="00A022A1"/>
    <w:rsid w:val="00A037D1"/>
    <w:rsid w:val="00A04B06"/>
    <w:rsid w:val="00A1546E"/>
    <w:rsid w:val="00A157A1"/>
    <w:rsid w:val="00A16528"/>
    <w:rsid w:val="00A17A4A"/>
    <w:rsid w:val="00A24E1E"/>
    <w:rsid w:val="00A32641"/>
    <w:rsid w:val="00A3678F"/>
    <w:rsid w:val="00A37504"/>
    <w:rsid w:val="00A46F76"/>
    <w:rsid w:val="00A53940"/>
    <w:rsid w:val="00A54088"/>
    <w:rsid w:val="00A6439A"/>
    <w:rsid w:val="00A67C65"/>
    <w:rsid w:val="00A7231D"/>
    <w:rsid w:val="00A72C3F"/>
    <w:rsid w:val="00A73197"/>
    <w:rsid w:val="00A741F4"/>
    <w:rsid w:val="00A76E4D"/>
    <w:rsid w:val="00A906F1"/>
    <w:rsid w:val="00A90937"/>
    <w:rsid w:val="00A93CA0"/>
    <w:rsid w:val="00A95B4A"/>
    <w:rsid w:val="00AA623E"/>
    <w:rsid w:val="00AA63AA"/>
    <w:rsid w:val="00AB4BEC"/>
    <w:rsid w:val="00AC58CA"/>
    <w:rsid w:val="00AD2530"/>
    <w:rsid w:val="00AD578F"/>
    <w:rsid w:val="00AD7A84"/>
    <w:rsid w:val="00AE547E"/>
    <w:rsid w:val="00B05CE8"/>
    <w:rsid w:val="00B16D72"/>
    <w:rsid w:val="00B24064"/>
    <w:rsid w:val="00B31D2B"/>
    <w:rsid w:val="00B335A1"/>
    <w:rsid w:val="00B43783"/>
    <w:rsid w:val="00B43984"/>
    <w:rsid w:val="00B45F58"/>
    <w:rsid w:val="00B47493"/>
    <w:rsid w:val="00B51A4E"/>
    <w:rsid w:val="00B54616"/>
    <w:rsid w:val="00B65E69"/>
    <w:rsid w:val="00B71D47"/>
    <w:rsid w:val="00B81461"/>
    <w:rsid w:val="00B8306F"/>
    <w:rsid w:val="00B846C2"/>
    <w:rsid w:val="00B8575C"/>
    <w:rsid w:val="00B87002"/>
    <w:rsid w:val="00B906FA"/>
    <w:rsid w:val="00B94524"/>
    <w:rsid w:val="00B95FDC"/>
    <w:rsid w:val="00B977C3"/>
    <w:rsid w:val="00BB16CA"/>
    <w:rsid w:val="00BB6F19"/>
    <w:rsid w:val="00BB73B0"/>
    <w:rsid w:val="00BC195E"/>
    <w:rsid w:val="00BC3AFE"/>
    <w:rsid w:val="00BC5EC6"/>
    <w:rsid w:val="00BC71D0"/>
    <w:rsid w:val="00BD0081"/>
    <w:rsid w:val="00BE0C7B"/>
    <w:rsid w:val="00BE1545"/>
    <w:rsid w:val="00BE53D0"/>
    <w:rsid w:val="00BE64E6"/>
    <w:rsid w:val="00BE7178"/>
    <w:rsid w:val="00BF0BDC"/>
    <w:rsid w:val="00BF4C46"/>
    <w:rsid w:val="00BF5FBD"/>
    <w:rsid w:val="00BF781A"/>
    <w:rsid w:val="00C06EDD"/>
    <w:rsid w:val="00C1090E"/>
    <w:rsid w:val="00C109DD"/>
    <w:rsid w:val="00C11C58"/>
    <w:rsid w:val="00C157F4"/>
    <w:rsid w:val="00C165F1"/>
    <w:rsid w:val="00C16DA0"/>
    <w:rsid w:val="00C170C2"/>
    <w:rsid w:val="00C309D4"/>
    <w:rsid w:val="00C37A45"/>
    <w:rsid w:val="00C454FE"/>
    <w:rsid w:val="00C47FF5"/>
    <w:rsid w:val="00C63C0D"/>
    <w:rsid w:val="00C6774A"/>
    <w:rsid w:val="00C7255C"/>
    <w:rsid w:val="00C72F32"/>
    <w:rsid w:val="00C769F2"/>
    <w:rsid w:val="00C81CD9"/>
    <w:rsid w:val="00C825D8"/>
    <w:rsid w:val="00C83AFF"/>
    <w:rsid w:val="00C8464B"/>
    <w:rsid w:val="00C97A3D"/>
    <w:rsid w:val="00CA5253"/>
    <w:rsid w:val="00CB12F8"/>
    <w:rsid w:val="00CC2FB5"/>
    <w:rsid w:val="00CC4B3B"/>
    <w:rsid w:val="00CD0420"/>
    <w:rsid w:val="00CD1C28"/>
    <w:rsid w:val="00CE3A3A"/>
    <w:rsid w:val="00CE40D8"/>
    <w:rsid w:val="00CE6C03"/>
    <w:rsid w:val="00CF21AD"/>
    <w:rsid w:val="00CF6CF5"/>
    <w:rsid w:val="00D02016"/>
    <w:rsid w:val="00D07D9C"/>
    <w:rsid w:val="00D12101"/>
    <w:rsid w:val="00D158B8"/>
    <w:rsid w:val="00D24628"/>
    <w:rsid w:val="00D32E43"/>
    <w:rsid w:val="00D3709B"/>
    <w:rsid w:val="00D42ADE"/>
    <w:rsid w:val="00D4505B"/>
    <w:rsid w:val="00D45D75"/>
    <w:rsid w:val="00D46AB3"/>
    <w:rsid w:val="00D4736D"/>
    <w:rsid w:val="00D60AC6"/>
    <w:rsid w:val="00D6570B"/>
    <w:rsid w:val="00D66364"/>
    <w:rsid w:val="00D66DEB"/>
    <w:rsid w:val="00D70B90"/>
    <w:rsid w:val="00D77AC7"/>
    <w:rsid w:val="00D8049F"/>
    <w:rsid w:val="00D824F4"/>
    <w:rsid w:val="00D8352A"/>
    <w:rsid w:val="00D8703B"/>
    <w:rsid w:val="00DA24B9"/>
    <w:rsid w:val="00DB098F"/>
    <w:rsid w:val="00DB4E76"/>
    <w:rsid w:val="00DB7EEE"/>
    <w:rsid w:val="00DC46E4"/>
    <w:rsid w:val="00DC4A61"/>
    <w:rsid w:val="00DD043D"/>
    <w:rsid w:val="00DD1363"/>
    <w:rsid w:val="00DD2AE7"/>
    <w:rsid w:val="00DE1B25"/>
    <w:rsid w:val="00DE3091"/>
    <w:rsid w:val="00DF021F"/>
    <w:rsid w:val="00DF2D1C"/>
    <w:rsid w:val="00E04B8D"/>
    <w:rsid w:val="00E04CFE"/>
    <w:rsid w:val="00E06D8E"/>
    <w:rsid w:val="00E10BC4"/>
    <w:rsid w:val="00E13486"/>
    <w:rsid w:val="00E17AFB"/>
    <w:rsid w:val="00E321BE"/>
    <w:rsid w:val="00E3392E"/>
    <w:rsid w:val="00E42749"/>
    <w:rsid w:val="00E44226"/>
    <w:rsid w:val="00E447F0"/>
    <w:rsid w:val="00E50F7D"/>
    <w:rsid w:val="00E50FE3"/>
    <w:rsid w:val="00E549EC"/>
    <w:rsid w:val="00E64C6A"/>
    <w:rsid w:val="00E65A06"/>
    <w:rsid w:val="00E707E1"/>
    <w:rsid w:val="00E71DEE"/>
    <w:rsid w:val="00E742DB"/>
    <w:rsid w:val="00E757E7"/>
    <w:rsid w:val="00E75922"/>
    <w:rsid w:val="00E83201"/>
    <w:rsid w:val="00E855C2"/>
    <w:rsid w:val="00E86009"/>
    <w:rsid w:val="00E90623"/>
    <w:rsid w:val="00E90ED9"/>
    <w:rsid w:val="00E912A4"/>
    <w:rsid w:val="00E959AD"/>
    <w:rsid w:val="00EA3142"/>
    <w:rsid w:val="00EA32C0"/>
    <w:rsid w:val="00EA6ACF"/>
    <w:rsid w:val="00EA7782"/>
    <w:rsid w:val="00EB2D8F"/>
    <w:rsid w:val="00EB36B1"/>
    <w:rsid w:val="00EB399C"/>
    <w:rsid w:val="00EC0A26"/>
    <w:rsid w:val="00EC5847"/>
    <w:rsid w:val="00EC5D78"/>
    <w:rsid w:val="00ED7D16"/>
    <w:rsid w:val="00EF638C"/>
    <w:rsid w:val="00F019A6"/>
    <w:rsid w:val="00F027F8"/>
    <w:rsid w:val="00F2043C"/>
    <w:rsid w:val="00F21FB2"/>
    <w:rsid w:val="00F2234A"/>
    <w:rsid w:val="00F23BFA"/>
    <w:rsid w:val="00F24976"/>
    <w:rsid w:val="00F27C34"/>
    <w:rsid w:val="00F32521"/>
    <w:rsid w:val="00F41DA5"/>
    <w:rsid w:val="00F43F36"/>
    <w:rsid w:val="00F51424"/>
    <w:rsid w:val="00F5613D"/>
    <w:rsid w:val="00F62451"/>
    <w:rsid w:val="00F720A4"/>
    <w:rsid w:val="00F73D1A"/>
    <w:rsid w:val="00F75382"/>
    <w:rsid w:val="00F77BB6"/>
    <w:rsid w:val="00F84005"/>
    <w:rsid w:val="00FA2166"/>
    <w:rsid w:val="00FA675D"/>
    <w:rsid w:val="00FB4D51"/>
    <w:rsid w:val="00FB7648"/>
    <w:rsid w:val="00FC01F8"/>
    <w:rsid w:val="00FC357F"/>
    <w:rsid w:val="00FE5600"/>
    <w:rsid w:val="00FF2EA4"/>
    <w:rsid w:val="00FF7A49"/>
    <w:rsid w:val="010333FC"/>
    <w:rsid w:val="018362EB"/>
    <w:rsid w:val="01B85F94"/>
    <w:rsid w:val="01E054EB"/>
    <w:rsid w:val="01EF572E"/>
    <w:rsid w:val="01F62F61"/>
    <w:rsid w:val="020A2568"/>
    <w:rsid w:val="023F6BF7"/>
    <w:rsid w:val="02493090"/>
    <w:rsid w:val="026C4FD1"/>
    <w:rsid w:val="028C6335"/>
    <w:rsid w:val="02AA213A"/>
    <w:rsid w:val="02AC36BD"/>
    <w:rsid w:val="02BF15A4"/>
    <w:rsid w:val="02C1531D"/>
    <w:rsid w:val="0341020B"/>
    <w:rsid w:val="035C5045"/>
    <w:rsid w:val="03675EC4"/>
    <w:rsid w:val="038E0721"/>
    <w:rsid w:val="03C25B83"/>
    <w:rsid w:val="03CC21CB"/>
    <w:rsid w:val="04003C23"/>
    <w:rsid w:val="0402799B"/>
    <w:rsid w:val="041476CE"/>
    <w:rsid w:val="04294F27"/>
    <w:rsid w:val="0438160E"/>
    <w:rsid w:val="045A4206"/>
    <w:rsid w:val="045F4DED"/>
    <w:rsid w:val="0466206C"/>
    <w:rsid w:val="046C6BF5"/>
    <w:rsid w:val="04A0155B"/>
    <w:rsid w:val="04BB4BE0"/>
    <w:rsid w:val="04C2712A"/>
    <w:rsid w:val="04C64E6C"/>
    <w:rsid w:val="04D56E5D"/>
    <w:rsid w:val="04DF1F2B"/>
    <w:rsid w:val="04ED2D68"/>
    <w:rsid w:val="04FF3D51"/>
    <w:rsid w:val="051756C8"/>
    <w:rsid w:val="05254A5F"/>
    <w:rsid w:val="053F6F8A"/>
    <w:rsid w:val="054162A1"/>
    <w:rsid w:val="05461B09"/>
    <w:rsid w:val="054D733B"/>
    <w:rsid w:val="058B3ACE"/>
    <w:rsid w:val="059C75DF"/>
    <w:rsid w:val="059D6B84"/>
    <w:rsid w:val="05A14F91"/>
    <w:rsid w:val="05AC5C0F"/>
    <w:rsid w:val="05BB24F7"/>
    <w:rsid w:val="05BE7372"/>
    <w:rsid w:val="06654211"/>
    <w:rsid w:val="066A7A79"/>
    <w:rsid w:val="0696086E"/>
    <w:rsid w:val="06996F25"/>
    <w:rsid w:val="06A13311"/>
    <w:rsid w:val="06A55C71"/>
    <w:rsid w:val="06C17D49"/>
    <w:rsid w:val="06D575E9"/>
    <w:rsid w:val="06F37A6F"/>
    <w:rsid w:val="06F53E3D"/>
    <w:rsid w:val="070D6D82"/>
    <w:rsid w:val="07190BE4"/>
    <w:rsid w:val="073F71ED"/>
    <w:rsid w:val="07464042"/>
    <w:rsid w:val="075926EA"/>
    <w:rsid w:val="076B5857"/>
    <w:rsid w:val="079528D4"/>
    <w:rsid w:val="07987FF3"/>
    <w:rsid w:val="079D1FBD"/>
    <w:rsid w:val="07B05960"/>
    <w:rsid w:val="07B45450"/>
    <w:rsid w:val="07BE1E2B"/>
    <w:rsid w:val="07D94EB6"/>
    <w:rsid w:val="07DB005B"/>
    <w:rsid w:val="07DC2099"/>
    <w:rsid w:val="07E15DAC"/>
    <w:rsid w:val="07E850FA"/>
    <w:rsid w:val="07FC04D8"/>
    <w:rsid w:val="08122176"/>
    <w:rsid w:val="082E0064"/>
    <w:rsid w:val="08346591"/>
    <w:rsid w:val="084E0C7D"/>
    <w:rsid w:val="086F1377"/>
    <w:rsid w:val="087C7B4E"/>
    <w:rsid w:val="087E15BA"/>
    <w:rsid w:val="088F0D5E"/>
    <w:rsid w:val="08940DDD"/>
    <w:rsid w:val="08A47272"/>
    <w:rsid w:val="08AB6853"/>
    <w:rsid w:val="08E65ADD"/>
    <w:rsid w:val="091268D2"/>
    <w:rsid w:val="094620D8"/>
    <w:rsid w:val="097E3F67"/>
    <w:rsid w:val="09DD72C1"/>
    <w:rsid w:val="09E57B43"/>
    <w:rsid w:val="09FE0C04"/>
    <w:rsid w:val="0A01070D"/>
    <w:rsid w:val="0A124EE7"/>
    <w:rsid w:val="0A2F5262"/>
    <w:rsid w:val="0A430D0D"/>
    <w:rsid w:val="0A522CFE"/>
    <w:rsid w:val="0A5C4B30"/>
    <w:rsid w:val="0A7B46BD"/>
    <w:rsid w:val="0A960E3D"/>
    <w:rsid w:val="0AA01CBB"/>
    <w:rsid w:val="0AAF0151"/>
    <w:rsid w:val="0AAF2932"/>
    <w:rsid w:val="0ABD0ABF"/>
    <w:rsid w:val="0AD025A1"/>
    <w:rsid w:val="0ADC163F"/>
    <w:rsid w:val="0AE6279C"/>
    <w:rsid w:val="0B0272BF"/>
    <w:rsid w:val="0B1B1342"/>
    <w:rsid w:val="0B23759E"/>
    <w:rsid w:val="0B2B471F"/>
    <w:rsid w:val="0B470389"/>
    <w:rsid w:val="0B591890"/>
    <w:rsid w:val="0B7C44D7"/>
    <w:rsid w:val="0B8213C1"/>
    <w:rsid w:val="0B8C708E"/>
    <w:rsid w:val="0B93544F"/>
    <w:rsid w:val="0B9F01C5"/>
    <w:rsid w:val="0BA312DB"/>
    <w:rsid w:val="0BA871E7"/>
    <w:rsid w:val="0BB7681F"/>
    <w:rsid w:val="0BD30569"/>
    <w:rsid w:val="0BD7170D"/>
    <w:rsid w:val="0C004B2C"/>
    <w:rsid w:val="0C1666D9"/>
    <w:rsid w:val="0C174EAA"/>
    <w:rsid w:val="0C197AE2"/>
    <w:rsid w:val="0C2267DE"/>
    <w:rsid w:val="0C322DE7"/>
    <w:rsid w:val="0C4F3999"/>
    <w:rsid w:val="0C5B40EC"/>
    <w:rsid w:val="0C6F1489"/>
    <w:rsid w:val="0C6F1945"/>
    <w:rsid w:val="0C7C4062"/>
    <w:rsid w:val="0C807FF6"/>
    <w:rsid w:val="0C8573BB"/>
    <w:rsid w:val="0C886EAB"/>
    <w:rsid w:val="0C917B0E"/>
    <w:rsid w:val="0C9D2956"/>
    <w:rsid w:val="0CA976B9"/>
    <w:rsid w:val="0CB83B8B"/>
    <w:rsid w:val="0CCF4ADA"/>
    <w:rsid w:val="0CDC62AF"/>
    <w:rsid w:val="0D045A06"/>
    <w:rsid w:val="0D1129FD"/>
    <w:rsid w:val="0D215336"/>
    <w:rsid w:val="0D511BCD"/>
    <w:rsid w:val="0D9A2F32"/>
    <w:rsid w:val="0DA815B3"/>
    <w:rsid w:val="0DD8176C"/>
    <w:rsid w:val="0DDC300B"/>
    <w:rsid w:val="0DE644E0"/>
    <w:rsid w:val="0E370B89"/>
    <w:rsid w:val="0E3C7F4D"/>
    <w:rsid w:val="0E87284F"/>
    <w:rsid w:val="0EA33B28"/>
    <w:rsid w:val="0EAF6971"/>
    <w:rsid w:val="0EEF216E"/>
    <w:rsid w:val="0F0E57E7"/>
    <w:rsid w:val="0F1A028E"/>
    <w:rsid w:val="0F1A64E0"/>
    <w:rsid w:val="0F421593"/>
    <w:rsid w:val="0F4E2F1A"/>
    <w:rsid w:val="0F5F3EF3"/>
    <w:rsid w:val="0F6B0AEA"/>
    <w:rsid w:val="0F713C26"/>
    <w:rsid w:val="0FA364D6"/>
    <w:rsid w:val="0FAB538A"/>
    <w:rsid w:val="0FD06B9F"/>
    <w:rsid w:val="0FF46D31"/>
    <w:rsid w:val="0FF94348"/>
    <w:rsid w:val="0FFA0E2A"/>
    <w:rsid w:val="10305890"/>
    <w:rsid w:val="104430E9"/>
    <w:rsid w:val="10533524"/>
    <w:rsid w:val="10572E1C"/>
    <w:rsid w:val="105C4399"/>
    <w:rsid w:val="1076235D"/>
    <w:rsid w:val="107F26DA"/>
    <w:rsid w:val="108C6F6A"/>
    <w:rsid w:val="10B65D95"/>
    <w:rsid w:val="10C5422A"/>
    <w:rsid w:val="10DB6D7F"/>
    <w:rsid w:val="110D797F"/>
    <w:rsid w:val="112E09B5"/>
    <w:rsid w:val="11537A88"/>
    <w:rsid w:val="115551B1"/>
    <w:rsid w:val="1162576D"/>
    <w:rsid w:val="11B318DC"/>
    <w:rsid w:val="11B545A0"/>
    <w:rsid w:val="11BA7B07"/>
    <w:rsid w:val="11D84431"/>
    <w:rsid w:val="120B3EBE"/>
    <w:rsid w:val="120E39AF"/>
    <w:rsid w:val="121217FD"/>
    <w:rsid w:val="12192A7F"/>
    <w:rsid w:val="121A2353"/>
    <w:rsid w:val="12210A8B"/>
    <w:rsid w:val="12483364"/>
    <w:rsid w:val="124E5235"/>
    <w:rsid w:val="125F420A"/>
    <w:rsid w:val="126B2BAF"/>
    <w:rsid w:val="12802AFE"/>
    <w:rsid w:val="128E4C1D"/>
    <w:rsid w:val="1292638E"/>
    <w:rsid w:val="12996038"/>
    <w:rsid w:val="12A06CFD"/>
    <w:rsid w:val="12CD5AA9"/>
    <w:rsid w:val="12F901BB"/>
    <w:rsid w:val="12FD57C9"/>
    <w:rsid w:val="130152C1"/>
    <w:rsid w:val="130628D8"/>
    <w:rsid w:val="13272F7A"/>
    <w:rsid w:val="13511DA5"/>
    <w:rsid w:val="13767C64"/>
    <w:rsid w:val="1381162F"/>
    <w:rsid w:val="138F1469"/>
    <w:rsid w:val="13A50343"/>
    <w:rsid w:val="13A61AD5"/>
    <w:rsid w:val="13BB1914"/>
    <w:rsid w:val="13CE6FBC"/>
    <w:rsid w:val="13FB7F63"/>
    <w:rsid w:val="140B63F8"/>
    <w:rsid w:val="140C2170"/>
    <w:rsid w:val="14172FEE"/>
    <w:rsid w:val="142675BC"/>
    <w:rsid w:val="142B0848"/>
    <w:rsid w:val="14377C0F"/>
    <w:rsid w:val="144E2788"/>
    <w:rsid w:val="14575E03"/>
    <w:rsid w:val="14636234"/>
    <w:rsid w:val="146D70B2"/>
    <w:rsid w:val="149A777C"/>
    <w:rsid w:val="149B6FBD"/>
    <w:rsid w:val="149D2C94"/>
    <w:rsid w:val="14AE3227"/>
    <w:rsid w:val="14D25167"/>
    <w:rsid w:val="14D666DB"/>
    <w:rsid w:val="14DB04C0"/>
    <w:rsid w:val="14EF4045"/>
    <w:rsid w:val="150D43F1"/>
    <w:rsid w:val="15132AEA"/>
    <w:rsid w:val="152754B3"/>
    <w:rsid w:val="152F25BA"/>
    <w:rsid w:val="15323EC6"/>
    <w:rsid w:val="15763D45"/>
    <w:rsid w:val="157B4856"/>
    <w:rsid w:val="158346B4"/>
    <w:rsid w:val="15883A78"/>
    <w:rsid w:val="158E5B4F"/>
    <w:rsid w:val="15B12FCF"/>
    <w:rsid w:val="15CF0F7F"/>
    <w:rsid w:val="16003D72"/>
    <w:rsid w:val="160B0931"/>
    <w:rsid w:val="160C46A9"/>
    <w:rsid w:val="16133C89"/>
    <w:rsid w:val="161377E5"/>
    <w:rsid w:val="162B2D81"/>
    <w:rsid w:val="1683496B"/>
    <w:rsid w:val="16866209"/>
    <w:rsid w:val="16882E59"/>
    <w:rsid w:val="169052DA"/>
    <w:rsid w:val="169D3553"/>
    <w:rsid w:val="16BF34C9"/>
    <w:rsid w:val="16D263AA"/>
    <w:rsid w:val="16DA6555"/>
    <w:rsid w:val="172D2B29"/>
    <w:rsid w:val="17306C2D"/>
    <w:rsid w:val="17766837"/>
    <w:rsid w:val="17982458"/>
    <w:rsid w:val="17AC2C33"/>
    <w:rsid w:val="17CF3BE0"/>
    <w:rsid w:val="17D86F39"/>
    <w:rsid w:val="1817007E"/>
    <w:rsid w:val="181810E3"/>
    <w:rsid w:val="18267AB6"/>
    <w:rsid w:val="182E4DAB"/>
    <w:rsid w:val="18504D21"/>
    <w:rsid w:val="18634390"/>
    <w:rsid w:val="18893D8F"/>
    <w:rsid w:val="189A6437"/>
    <w:rsid w:val="18A92683"/>
    <w:rsid w:val="18C96881"/>
    <w:rsid w:val="18D07C10"/>
    <w:rsid w:val="1901556C"/>
    <w:rsid w:val="1910625E"/>
    <w:rsid w:val="19355CC5"/>
    <w:rsid w:val="194505FE"/>
    <w:rsid w:val="194A1770"/>
    <w:rsid w:val="19722A75"/>
    <w:rsid w:val="19756F41"/>
    <w:rsid w:val="1988673C"/>
    <w:rsid w:val="198D0F05"/>
    <w:rsid w:val="199944A6"/>
    <w:rsid w:val="199B6470"/>
    <w:rsid w:val="19CE57F5"/>
    <w:rsid w:val="19DE5CD3"/>
    <w:rsid w:val="19E92EA6"/>
    <w:rsid w:val="1A004525"/>
    <w:rsid w:val="1A1237DC"/>
    <w:rsid w:val="1A1B310D"/>
    <w:rsid w:val="1A1C3315"/>
    <w:rsid w:val="1A2F0A01"/>
    <w:rsid w:val="1A4D657E"/>
    <w:rsid w:val="1A4E34E2"/>
    <w:rsid w:val="1A89276C"/>
    <w:rsid w:val="1A935399"/>
    <w:rsid w:val="1B52312C"/>
    <w:rsid w:val="1B5468D6"/>
    <w:rsid w:val="1B6C2FEB"/>
    <w:rsid w:val="1B7A3E63"/>
    <w:rsid w:val="1B866CAC"/>
    <w:rsid w:val="1B937A0D"/>
    <w:rsid w:val="1B9413C8"/>
    <w:rsid w:val="1BB11F7A"/>
    <w:rsid w:val="1BB145D8"/>
    <w:rsid w:val="1BB23BB4"/>
    <w:rsid w:val="1BC351DB"/>
    <w:rsid w:val="1BD143CB"/>
    <w:rsid w:val="1BD25A4D"/>
    <w:rsid w:val="1BD64D7A"/>
    <w:rsid w:val="1BF77544"/>
    <w:rsid w:val="1BFB4FA4"/>
    <w:rsid w:val="1C2D7127"/>
    <w:rsid w:val="1C334DB0"/>
    <w:rsid w:val="1C362480"/>
    <w:rsid w:val="1C374B81"/>
    <w:rsid w:val="1C427076"/>
    <w:rsid w:val="1C4B7CFE"/>
    <w:rsid w:val="1C4D015E"/>
    <w:rsid w:val="1C766D20"/>
    <w:rsid w:val="1C792AA7"/>
    <w:rsid w:val="1C8342E7"/>
    <w:rsid w:val="1CBB2985"/>
    <w:rsid w:val="1CE4615D"/>
    <w:rsid w:val="1CE7377A"/>
    <w:rsid w:val="1CF57C45"/>
    <w:rsid w:val="1D1F4CC2"/>
    <w:rsid w:val="1D322965"/>
    <w:rsid w:val="1D37025D"/>
    <w:rsid w:val="1D766D45"/>
    <w:rsid w:val="1D892944"/>
    <w:rsid w:val="1D8C29A2"/>
    <w:rsid w:val="1DA11ABB"/>
    <w:rsid w:val="1DAD2A8C"/>
    <w:rsid w:val="1DAE158E"/>
    <w:rsid w:val="1DF223D6"/>
    <w:rsid w:val="1DF4614E"/>
    <w:rsid w:val="1E0068A1"/>
    <w:rsid w:val="1E206F43"/>
    <w:rsid w:val="1E3824DF"/>
    <w:rsid w:val="1E575166"/>
    <w:rsid w:val="1E6F7E6E"/>
    <w:rsid w:val="1E892D3B"/>
    <w:rsid w:val="1E9C236D"/>
    <w:rsid w:val="1EA8202D"/>
    <w:rsid w:val="1ED57D2E"/>
    <w:rsid w:val="1F0639A0"/>
    <w:rsid w:val="1F10520A"/>
    <w:rsid w:val="1F16734A"/>
    <w:rsid w:val="1F271AA4"/>
    <w:rsid w:val="1F7532BF"/>
    <w:rsid w:val="1F8E612F"/>
    <w:rsid w:val="1F9B49C4"/>
    <w:rsid w:val="1FDB75C6"/>
    <w:rsid w:val="1FFE758D"/>
    <w:rsid w:val="200F7270"/>
    <w:rsid w:val="201E74B3"/>
    <w:rsid w:val="202E0E7A"/>
    <w:rsid w:val="205E6393"/>
    <w:rsid w:val="207B2B57"/>
    <w:rsid w:val="208E288A"/>
    <w:rsid w:val="20A0611A"/>
    <w:rsid w:val="20BB11A5"/>
    <w:rsid w:val="20C53DD2"/>
    <w:rsid w:val="20E34258"/>
    <w:rsid w:val="20F45DB6"/>
    <w:rsid w:val="21004E0A"/>
    <w:rsid w:val="2126650E"/>
    <w:rsid w:val="213413B3"/>
    <w:rsid w:val="217952E8"/>
    <w:rsid w:val="21A8172A"/>
    <w:rsid w:val="21B225A8"/>
    <w:rsid w:val="21BF0821"/>
    <w:rsid w:val="21C422DC"/>
    <w:rsid w:val="21C916A0"/>
    <w:rsid w:val="21D342CD"/>
    <w:rsid w:val="21D97A24"/>
    <w:rsid w:val="21DF0EC4"/>
    <w:rsid w:val="21F11323"/>
    <w:rsid w:val="21FF3314"/>
    <w:rsid w:val="22032E04"/>
    <w:rsid w:val="2208041A"/>
    <w:rsid w:val="2228610B"/>
    <w:rsid w:val="222F720E"/>
    <w:rsid w:val="22433200"/>
    <w:rsid w:val="224623B3"/>
    <w:rsid w:val="22592A24"/>
    <w:rsid w:val="22A46395"/>
    <w:rsid w:val="22A53EBB"/>
    <w:rsid w:val="22A85759"/>
    <w:rsid w:val="22BC0F7A"/>
    <w:rsid w:val="22D93B65"/>
    <w:rsid w:val="22EC03E0"/>
    <w:rsid w:val="2307356D"/>
    <w:rsid w:val="230C5CE8"/>
    <w:rsid w:val="23183094"/>
    <w:rsid w:val="232A616E"/>
    <w:rsid w:val="233660B1"/>
    <w:rsid w:val="23416A94"/>
    <w:rsid w:val="234E30ED"/>
    <w:rsid w:val="234F597E"/>
    <w:rsid w:val="236118E9"/>
    <w:rsid w:val="237044C9"/>
    <w:rsid w:val="23772C71"/>
    <w:rsid w:val="23B73EA6"/>
    <w:rsid w:val="23B95264"/>
    <w:rsid w:val="23BA3996"/>
    <w:rsid w:val="23BC5A3E"/>
    <w:rsid w:val="23CD5F1F"/>
    <w:rsid w:val="23D1216B"/>
    <w:rsid w:val="23F52C20"/>
    <w:rsid w:val="23FC5CD6"/>
    <w:rsid w:val="240F3CE2"/>
    <w:rsid w:val="242A1D2A"/>
    <w:rsid w:val="244823F9"/>
    <w:rsid w:val="245F4DC2"/>
    <w:rsid w:val="246A716A"/>
    <w:rsid w:val="24787223"/>
    <w:rsid w:val="247955FF"/>
    <w:rsid w:val="24C22B02"/>
    <w:rsid w:val="24EE7D9B"/>
    <w:rsid w:val="25245D32"/>
    <w:rsid w:val="2536529E"/>
    <w:rsid w:val="254F010E"/>
    <w:rsid w:val="25585215"/>
    <w:rsid w:val="25787421"/>
    <w:rsid w:val="259326F1"/>
    <w:rsid w:val="25B60AB0"/>
    <w:rsid w:val="25CD17C3"/>
    <w:rsid w:val="25ED6EF5"/>
    <w:rsid w:val="25F4524D"/>
    <w:rsid w:val="261C6242"/>
    <w:rsid w:val="26997893"/>
    <w:rsid w:val="26A5092E"/>
    <w:rsid w:val="26AB5FE8"/>
    <w:rsid w:val="26D63198"/>
    <w:rsid w:val="26E03714"/>
    <w:rsid w:val="26F17200"/>
    <w:rsid w:val="27020185"/>
    <w:rsid w:val="273D46C2"/>
    <w:rsid w:val="274979CF"/>
    <w:rsid w:val="274B6F67"/>
    <w:rsid w:val="275210BB"/>
    <w:rsid w:val="277D5407"/>
    <w:rsid w:val="27A24E6D"/>
    <w:rsid w:val="27AF13DE"/>
    <w:rsid w:val="27B54BA0"/>
    <w:rsid w:val="27BB1438"/>
    <w:rsid w:val="27DE22BF"/>
    <w:rsid w:val="27DF39CB"/>
    <w:rsid w:val="27F84A8D"/>
    <w:rsid w:val="28177609"/>
    <w:rsid w:val="282230F8"/>
    <w:rsid w:val="28285372"/>
    <w:rsid w:val="2838132E"/>
    <w:rsid w:val="28620159"/>
    <w:rsid w:val="286D4306"/>
    <w:rsid w:val="287E1436"/>
    <w:rsid w:val="289A78F2"/>
    <w:rsid w:val="28A10C81"/>
    <w:rsid w:val="28B649E3"/>
    <w:rsid w:val="28CA01D8"/>
    <w:rsid w:val="28DC1290"/>
    <w:rsid w:val="2916341D"/>
    <w:rsid w:val="29361D11"/>
    <w:rsid w:val="29543F45"/>
    <w:rsid w:val="29677C18"/>
    <w:rsid w:val="29745244"/>
    <w:rsid w:val="299802D6"/>
    <w:rsid w:val="299A22A0"/>
    <w:rsid w:val="29AC3D81"/>
    <w:rsid w:val="29AE18A7"/>
    <w:rsid w:val="29AF08D8"/>
    <w:rsid w:val="29CE3CF8"/>
    <w:rsid w:val="29DD040A"/>
    <w:rsid w:val="29E47F7A"/>
    <w:rsid w:val="2A0406E2"/>
    <w:rsid w:val="2A0656A8"/>
    <w:rsid w:val="2A1B4A63"/>
    <w:rsid w:val="2A32577F"/>
    <w:rsid w:val="2A443FBA"/>
    <w:rsid w:val="2A5A37DD"/>
    <w:rsid w:val="2A6A7CA8"/>
    <w:rsid w:val="2A905451"/>
    <w:rsid w:val="2ABE71EB"/>
    <w:rsid w:val="2ADC0F33"/>
    <w:rsid w:val="2AE74512"/>
    <w:rsid w:val="2AE9366F"/>
    <w:rsid w:val="2AF42BBF"/>
    <w:rsid w:val="2AF91248"/>
    <w:rsid w:val="2B4D725B"/>
    <w:rsid w:val="2B7E34FB"/>
    <w:rsid w:val="2B914308"/>
    <w:rsid w:val="2BB313F7"/>
    <w:rsid w:val="2BE617CC"/>
    <w:rsid w:val="2BF33EE9"/>
    <w:rsid w:val="2C02237E"/>
    <w:rsid w:val="2C0833AD"/>
    <w:rsid w:val="2C2B3683"/>
    <w:rsid w:val="2C31056E"/>
    <w:rsid w:val="2C48411F"/>
    <w:rsid w:val="2C7C5E92"/>
    <w:rsid w:val="2C8066BB"/>
    <w:rsid w:val="2C8478F1"/>
    <w:rsid w:val="2C9F7814"/>
    <w:rsid w:val="2CA156F3"/>
    <w:rsid w:val="2CA62D0A"/>
    <w:rsid w:val="2CEE645F"/>
    <w:rsid w:val="2CF92C06"/>
    <w:rsid w:val="2CFB6EDA"/>
    <w:rsid w:val="2D0B10C4"/>
    <w:rsid w:val="2D0F6B01"/>
    <w:rsid w:val="2D1E05C1"/>
    <w:rsid w:val="2D35408E"/>
    <w:rsid w:val="2D4F6EFD"/>
    <w:rsid w:val="2D5409B8"/>
    <w:rsid w:val="2D7E77E3"/>
    <w:rsid w:val="2DD613CD"/>
    <w:rsid w:val="2DE81100"/>
    <w:rsid w:val="2DF126AA"/>
    <w:rsid w:val="2E224612"/>
    <w:rsid w:val="2E4C168F"/>
    <w:rsid w:val="2E6764C9"/>
    <w:rsid w:val="2E6C1D31"/>
    <w:rsid w:val="2E6E3CFB"/>
    <w:rsid w:val="2E7A26A0"/>
    <w:rsid w:val="2E93158A"/>
    <w:rsid w:val="2EE8585B"/>
    <w:rsid w:val="2F081A5A"/>
    <w:rsid w:val="2F0F103A"/>
    <w:rsid w:val="2F1228D8"/>
    <w:rsid w:val="2F7964B4"/>
    <w:rsid w:val="2FA63021"/>
    <w:rsid w:val="2FAD513C"/>
    <w:rsid w:val="2FC11C09"/>
    <w:rsid w:val="2FC9123E"/>
    <w:rsid w:val="2FD47B8E"/>
    <w:rsid w:val="301A5EE8"/>
    <w:rsid w:val="3024522F"/>
    <w:rsid w:val="305D1EAE"/>
    <w:rsid w:val="307D6477"/>
    <w:rsid w:val="308E5894"/>
    <w:rsid w:val="30937A49"/>
    <w:rsid w:val="309914C3"/>
    <w:rsid w:val="30B654E5"/>
    <w:rsid w:val="30DB3259"/>
    <w:rsid w:val="31092C81"/>
    <w:rsid w:val="311957CC"/>
    <w:rsid w:val="313703D4"/>
    <w:rsid w:val="313D086B"/>
    <w:rsid w:val="314422E5"/>
    <w:rsid w:val="317303FB"/>
    <w:rsid w:val="31770BE6"/>
    <w:rsid w:val="318178A1"/>
    <w:rsid w:val="318F2491"/>
    <w:rsid w:val="31A11CF2"/>
    <w:rsid w:val="31C51E84"/>
    <w:rsid w:val="31C64123"/>
    <w:rsid w:val="323112C7"/>
    <w:rsid w:val="32715B68"/>
    <w:rsid w:val="328D1382"/>
    <w:rsid w:val="32DB3340"/>
    <w:rsid w:val="33122352"/>
    <w:rsid w:val="33446DD8"/>
    <w:rsid w:val="33597626"/>
    <w:rsid w:val="33661C03"/>
    <w:rsid w:val="339E7C5E"/>
    <w:rsid w:val="33B07C43"/>
    <w:rsid w:val="33BF47D9"/>
    <w:rsid w:val="33CF6B1E"/>
    <w:rsid w:val="33EA5BD2"/>
    <w:rsid w:val="33ED199E"/>
    <w:rsid w:val="33ED5B9D"/>
    <w:rsid w:val="341E7629"/>
    <w:rsid w:val="342B1D46"/>
    <w:rsid w:val="34451C5D"/>
    <w:rsid w:val="344828F8"/>
    <w:rsid w:val="344F51A3"/>
    <w:rsid w:val="346C7B0F"/>
    <w:rsid w:val="34764968"/>
    <w:rsid w:val="347656B7"/>
    <w:rsid w:val="348222AE"/>
    <w:rsid w:val="349873DC"/>
    <w:rsid w:val="35147EA3"/>
    <w:rsid w:val="3529097C"/>
    <w:rsid w:val="352F2F62"/>
    <w:rsid w:val="3575596F"/>
    <w:rsid w:val="3575771D"/>
    <w:rsid w:val="358B3826"/>
    <w:rsid w:val="359C2EFC"/>
    <w:rsid w:val="35A3428A"/>
    <w:rsid w:val="35EA4102"/>
    <w:rsid w:val="36140CE4"/>
    <w:rsid w:val="363475D8"/>
    <w:rsid w:val="36533F02"/>
    <w:rsid w:val="36767721"/>
    <w:rsid w:val="36877708"/>
    <w:rsid w:val="36B10420"/>
    <w:rsid w:val="36D3666C"/>
    <w:rsid w:val="36E903C3"/>
    <w:rsid w:val="36EF34FF"/>
    <w:rsid w:val="37031F9E"/>
    <w:rsid w:val="37061D90"/>
    <w:rsid w:val="37092813"/>
    <w:rsid w:val="370E5675"/>
    <w:rsid w:val="372238D5"/>
    <w:rsid w:val="374E0226"/>
    <w:rsid w:val="3752653D"/>
    <w:rsid w:val="37702892"/>
    <w:rsid w:val="377A54BF"/>
    <w:rsid w:val="37841008"/>
    <w:rsid w:val="37AC319E"/>
    <w:rsid w:val="37BA3B0D"/>
    <w:rsid w:val="37BFA028"/>
    <w:rsid w:val="37CD1DE7"/>
    <w:rsid w:val="37ED3EE3"/>
    <w:rsid w:val="380A6843"/>
    <w:rsid w:val="38186329"/>
    <w:rsid w:val="381C0324"/>
    <w:rsid w:val="3827604A"/>
    <w:rsid w:val="38856568"/>
    <w:rsid w:val="38B55CC7"/>
    <w:rsid w:val="38E03E10"/>
    <w:rsid w:val="391060DB"/>
    <w:rsid w:val="391E437C"/>
    <w:rsid w:val="3956416B"/>
    <w:rsid w:val="395E52C3"/>
    <w:rsid w:val="3962620A"/>
    <w:rsid w:val="39705BFA"/>
    <w:rsid w:val="39756A74"/>
    <w:rsid w:val="39A64349"/>
    <w:rsid w:val="39C20F5B"/>
    <w:rsid w:val="39C90037"/>
    <w:rsid w:val="39D07618"/>
    <w:rsid w:val="39D3320A"/>
    <w:rsid w:val="39DC7D6B"/>
    <w:rsid w:val="39EE291F"/>
    <w:rsid w:val="3A074B33"/>
    <w:rsid w:val="3A0D6176"/>
    <w:rsid w:val="3A2160C5"/>
    <w:rsid w:val="3A3571B4"/>
    <w:rsid w:val="3A3A2CE3"/>
    <w:rsid w:val="3A48568A"/>
    <w:rsid w:val="3A4964BA"/>
    <w:rsid w:val="3A4F678F"/>
    <w:rsid w:val="3A500759"/>
    <w:rsid w:val="3A52002D"/>
    <w:rsid w:val="3A655FB2"/>
    <w:rsid w:val="3A695746"/>
    <w:rsid w:val="3A9502F1"/>
    <w:rsid w:val="3A970136"/>
    <w:rsid w:val="3AE25855"/>
    <w:rsid w:val="3AEA4709"/>
    <w:rsid w:val="3AEB1C60"/>
    <w:rsid w:val="3AF74B96"/>
    <w:rsid w:val="3AF86E26"/>
    <w:rsid w:val="3B057795"/>
    <w:rsid w:val="3B0A6B5A"/>
    <w:rsid w:val="3B2220F5"/>
    <w:rsid w:val="3B304812"/>
    <w:rsid w:val="3B4958D4"/>
    <w:rsid w:val="3B4E2EEA"/>
    <w:rsid w:val="3B4E615E"/>
    <w:rsid w:val="3B6A683B"/>
    <w:rsid w:val="3B892174"/>
    <w:rsid w:val="3BA743A8"/>
    <w:rsid w:val="3BAB3E99"/>
    <w:rsid w:val="3BEC625F"/>
    <w:rsid w:val="3C17472B"/>
    <w:rsid w:val="3C320661"/>
    <w:rsid w:val="3C335C3C"/>
    <w:rsid w:val="3C97266F"/>
    <w:rsid w:val="3C9B2C8C"/>
    <w:rsid w:val="3C9B3F0D"/>
    <w:rsid w:val="3CA73615"/>
    <w:rsid w:val="3CA803D8"/>
    <w:rsid w:val="3CC90E43"/>
    <w:rsid w:val="3D4109B2"/>
    <w:rsid w:val="3D5E72E1"/>
    <w:rsid w:val="3D7A6218"/>
    <w:rsid w:val="3DBD6105"/>
    <w:rsid w:val="3DE23DBE"/>
    <w:rsid w:val="3DE25B6C"/>
    <w:rsid w:val="3DEB5E6F"/>
    <w:rsid w:val="3DF17B5D"/>
    <w:rsid w:val="3DFF67D5"/>
    <w:rsid w:val="3E0633EE"/>
    <w:rsid w:val="3E1C72D0"/>
    <w:rsid w:val="3E212922"/>
    <w:rsid w:val="3E222F7F"/>
    <w:rsid w:val="3E305F64"/>
    <w:rsid w:val="3E34138B"/>
    <w:rsid w:val="3E502F77"/>
    <w:rsid w:val="3E5F0F6A"/>
    <w:rsid w:val="3E614CE2"/>
    <w:rsid w:val="3E6F38A3"/>
    <w:rsid w:val="3E7F2B45"/>
    <w:rsid w:val="3E9E1A93"/>
    <w:rsid w:val="3EAB2402"/>
    <w:rsid w:val="3EE8596F"/>
    <w:rsid w:val="3EEF0AB8"/>
    <w:rsid w:val="3F075B13"/>
    <w:rsid w:val="3F1A6BAD"/>
    <w:rsid w:val="3F3E65D0"/>
    <w:rsid w:val="3F4A39C9"/>
    <w:rsid w:val="3F71360C"/>
    <w:rsid w:val="3F764130"/>
    <w:rsid w:val="3FA118A5"/>
    <w:rsid w:val="3FAB6B24"/>
    <w:rsid w:val="3FDA0776"/>
    <w:rsid w:val="3FDA284A"/>
    <w:rsid w:val="3FDA2F9E"/>
    <w:rsid w:val="3FE536F1"/>
    <w:rsid w:val="3FEB18D8"/>
    <w:rsid w:val="3FFA0F4B"/>
    <w:rsid w:val="402C4C55"/>
    <w:rsid w:val="404023C4"/>
    <w:rsid w:val="40493C80"/>
    <w:rsid w:val="404B48EE"/>
    <w:rsid w:val="40581F6E"/>
    <w:rsid w:val="407A208B"/>
    <w:rsid w:val="4093314D"/>
    <w:rsid w:val="40BB2DD0"/>
    <w:rsid w:val="40C15B2F"/>
    <w:rsid w:val="40E572B5"/>
    <w:rsid w:val="40E879E7"/>
    <w:rsid w:val="40F3694D"/>
    <w:rsid w:val="41005B39"/>
    <w:rsid w:val="41055DF9"/>
    <w:rsid w:val="410C1185"/>
    <w:rsid w:val="41160006"/>
    <w:rsid w:val="414A7B75"/>
    <w:rsid w:val="419D3DBE"/>
    <w:rsid w:val="41AA0C03"/>
    <w:rsid w:val="41C77552"/>
    <w:rsid w:val="41C95E4D"/>
    <w:rsid w:val="41D37CA5"/>
    <w:rsid w:val="41E9396D"/>
    <w:rsid w:val="42402E61"/>
    <w:rsid w:val="42426BD9"/>
    <w:rsid w:val="425012F6"/>
    <w:rsid w:val="425132C0"/>
    <w:rsid w:val="4251506E"/>
    <w:rsid w:val="427F40C9"/>
    <w:rsid w:val="42982C9D"/>
    <w:rsid w:val="429960CF"/>
    <w:rsid w:val="42CA6358"/>
    <w:rsid w:val="42D24401"/>
    <w:rsid w:val="42D9011C"/>
    <w:rsid w:val="42F02ADA"/>
    <w:rsid w:val="42F53BEC"/>
    <w:rsid w:val="42FD0C9B"/>
    <w:rsid w:val="4303280C"/>
    <w:rsid w:val="431719E4"/>
    <w:rsid w:val="43233126"/>
    <w:rsid w:val="432664FB"/>
    <w:rsid w:val="43277BDB"/>
    <w:rsid w:val="433C187A"/>
    <w:rsid w:val="433C7083"/>
    <w:rsid w:val="434F5A51"/>
    <w:rsid w:val="435E5C94"/>
    <w:rsid w:val="43A85162"/>
    <w:rsid w:val="43B65AD0"/>
    <w:rsid w:val="43CD4BC8"/>
    <w:rsid w:val="43F92BB9"/>
    <w:rsid w:val="43FF1225"/>
    <w:rsid w:val="44427364"/>
    <w:rsid w:val="444E7AB7"/>
    <w:rsid w:val="444F55DD"/>
    <w:rsid w:val="445E6EA4"/>
    <w:rsid w:val="44900E56"/>
    <w:rsid w:val="44D51F86"/>
    <w:rsid w:val="44DC1E9A"/>
    <w:rsid w:val="44DC50C3"/>
    <w:rsid w:val="451A208F"/>
    <w:rsid w:val="451D704F"/>
    <w:rsid w:val="452F78E8"/>
    <w:rsid w:val="453F38A4"/>
    <w:rsid w:val="4565330A"/>
    <w:rsid w:val="456774D8"/>
    <w:rsid w:val="457E7FAC"/>
    <w:rsid w:val="45AF7C5C"/>
    <w:rsid w:val="45B47174"/>
    <w:rsid w:val="45CA0F66"/>
    <w:rsid w:val="45D10756"/>
    <w:rsid w:val="45DA351F"/>
    <w:rsid w:val="45E139CD"/>
    <w:rsid w:val="45E71F71"/>
    <w:rsid w:val="45F162E0"/>
    <w:rsid w:val="46205483"/>
    <w:rsid w:val="46222FA9"/>
    <w:rsid w:val="46254592"/>
    <w:rsid w:val="46254C11"/>
    <w:rsid w:val="464B599D"/>
    <w:rsid w:val="46701BD3"/>
    <w:rsid w:val="46756CDE"/>
    <w:rsid w:val="467F1009"/>
    <w:rsid w:val="46A460B4"/>
    <w:rsid w:val="46B04A59"/>
    <w:rsid w:val="46B36F4B"/>
    <w:rsid w:val="46BA646D"/>
    <w:rsid w:val="46E26BDC"/>
    <w:rsid w:val="46FC24A1"/>
    <w:rsid w:val="470D1149"/>
    <w:rsid w:val="47307948"/>
    <w:rsid w:val="4732546E"/>
    <w:rsid w:val="47503B46"/>
    <w:rsid w:val="47685334"/>
    <w:rsid w:val="4779309D"/>
    <w:rsid w:val="479000C6"/>
    <w:rsid w:val="47AC6FDD"/>
    <w:rsid w:val="47B10A89"/>
    <w:rsid w:val="47B40579"/>
    <w:rsid w:val="47BC567F"/>
    <w:rsid w:val="47EC01A1"/>
    <w:rsid w:val="47F92871"/>
    <w:rsid w:val="480E5EDB"/>
    <w:rsid w:val="481608EC"/>
    <w:rsid w:val="482A30D9"/>
    <w:rsid w:val="482D748B"/>
    <w:rsid w:val="484C07B1"/>
    <w:rsid w:val="485831BD"/>
    <w:rsid w:val="48AA29B1"/>
    <w:rsid w:val="48CB3DCC"/>
    <w:rsid w:val="490E5A67"/>
    <w:rsid w:val="49156DF5"/>
    <w:rsid w:val="492900B7"/>
    <w:rsid w:val="494C2D19"/>
    <w:rsid w:val="495112C6"/>
    <w:rsid w:val="496112DB"/>
    <w:rsid w:val="4968161B"/>
    <w:rsid w:val="496B4C67"/>
    <w:rsid w:val="49B22896"/>
    <w:rsid w:val="49B73066"/>
    <w:rsid w:val="49D11ECD"/>
    <w:rsid w:val="49D56585"/>
    <w:rsid w:val="49EA3855"/>
    <w:rsid w:val="49ED7D72"/>
    <w:rsid w:val="49F27137"/>
    <w:rsid w:val="4A014349"/>
    <w:rsid w:val="4A094BA5"/>
    <w:rsid w:val="4A1946C3"/>
    <w:rsid w:val="4A2475A4"/>
    <w:rsid w:val="4A2B1A2F"/>
    <w:rsid w:val="4A4756D4"/>
    <w:rsid w:val="4A781C8E"/>
    <w:rsid w:val="4A881849"/>
    <w:rsid w:val="4A9B157C"/>
    <w:rsid w:val="4AAC19DB"/>
    <w:rsid w:val="4AB60164"/>
    <w:rsid w:val="4AC35133"/>
    <w:rsid w:val="4AD056CA"/>
    <w:rsid w:val="4AD52CE0"/>
    <w:rsid w:val="4AD54A8E"/>
    <w:rsid w:val="4AD56ED5"/>
    <w:rsid w:val="4AE7656F"/>
    <w:rsid w:val="4B052E99"/>
    <w:rsid w:val="4B137364"/>
    <w:rsid w:val="4B272E10"/>
    <w:rsid w:val="4B341453"/>
    <w:rsid w:val="4B4C2876"/>
    <w:rsid w:val="4B5B204B"/>
    <w:rsid w:val="4B77BA42"/>
    <w:rsid w:val="4B837B0C"/>
    <w:rsid w:val="4B850531"/>
    <w:rsid w:val="4B871B00"/>
    <w:rsid w:val="4B8A3E6C"/>
    <w:rsid w:val="4BA32DDE"/>
    <w:rsid w:val="4BAE42C3"/>
    <w:rsid w:val="4BB4664D"/>
    <w:rsid w:val="4BB5041C"/>
    <w:rsid w:val="4BC32B39"/>
    <w:rsid w:val="4BEA1EF3"/>
    <w:rsid w:val="4C1930A0"/>
    <w:rsid w:val="4C2A4D09"/>
    <w:rsid w:val="4C383197"/>
    <w:rsid w:val="4C481290"/>
    <w:rsid w:val="4C59349D"/>
    <w:rsid w:val="4C6D0CF6"/>
    <w:rsid w:val="4C7F0DE7"/>
    <w:rsid w:val="4C9D15DC"/>
    <w:rsid w:val="4CC528E0"/>
    <w:rsid w:val="4CDC68CB"/>
    <w:rsid w:val="4D1A70D0"/>
    <w:rsid w:val="4D1C536A"/>
    <w:rsid w:val="4D5072E9"/>
    <w:rsid w:val="4D695793"/>
    <w:rsid w:val="4D69668F"/>
    <w:rsid w:val="4D6F35EE"/>
    <w:rsid w:val="4D73058E"/>
    <w:rsid w:val="4D8409ED"/>
    <w:rsid w:val="4D9322BB"/>
    <w:rsid w:val="4D9F1383"/>
    <w:rsid w:val="4DA453E3"/>
    <w:rsid w:val="4DA846DC"/>
    <w:rsid w:val="4DB36BDD"/>
    <w:rsid w:val="4DBC1F35"/>
    <w:rsid w:val="4DCD4142"/>
    <w:rsid w:val="4DCF13B8"/>
    <w:rsid w:val="4DE94B43"/>
    <w:rsid w:val="4DF01BDF"/>
    <w:rsid w:val="4DF9660B"/>
    <w:rsid w:val="4E0450AE"/>
    <w:rsid w:val="4E125FF9"/>
    <w:rsid w:val="4E6A373F"/>
    <w:rsid w:val="4E81291C"/>
    <w:rsid w:val="4E9502E8"/>
    <w:rsid w:val="4EA5053D"/>
    <w:rsid w:val="4EDD2163"/>
    <w:rsid w:val="4F133DD7"/>
    <w:rsid w:val="4F1931A5"/>
    <w:rsid w:val="4F2369D0"/>
    <w:rsid w:val="4F2621FE"/>
    <w:rsid w:val="4F337FD5"/>
    <w:rsid w:val="4F343D4D"/>
    <w:rsid w:val="4F3E33A7"/>
    <w:rsid w:val="4F8C636A"/>
    <w:rsid w:val="4F8D77AB"/>
    <w:rsid w:val="4FBF5D0D"/>
    <w:rsid w:val="4FE85264"/>
    <w:rsid w:val="4FF736F9"/>
    <w:rsid w:val="501052BA"/>
    <w:rsid w:val="5010686C"/>
    <w:rsid w:val="5012408F"/>
    <w:rsid w:val="50403A3C"/>
    <w:rsid w:val="504F52E3"/>
    <w:rsid w:val="50632B3C"/>
    <w:rsid w:val="506A5C79"/>
    <w:rsid w:val="506E393C"/>
    <w:rsid w:val="507A753A"/>
    <w:rsid w:val="507C59AC"/>
    <w:rsid w:val="50A53155"/>
    <w:rsid w:val="50C41F9B"/>
    <w:rsid w:val="50CA4969"/>
    <w:rsid w:val="50CC06E1"/>
    <w:rsid w:val="50DD28EE"/>
    <w:rsid w:val="51093060"/>
    <w:rsid w:val="511D2CEB"/>
    <w:rsid w:val="51204589"/>
    <w:rsid w:val="51256043"/>
    <w:rsid w:val="51402D77"/>
    <w:rsid w:val="514279CB"/>
    <w:rsid w:val="514E7348"/>
    <w:rsid w:val="5160707C"/>
    <w:rsid w:val="517843C5"/>
    <w:rsid w:val="51992547"/>
    <w:rsid w:val="51996F17"/>
    <w:rsid w:val="51E47CAD"/>
    <w:rsid w:val="52067C23"/>
    <w:rsid w:val="523C74A6"/>
    <w:rsid w:val="523F4EE3"/>
    <w:rsid w:val="5271116E"/>
    <w:rsid w:val="528F5E6A"/>
    <w:rsid w:val="52BB345C"/>
    <w:rsid w:val="53041A34"/>
    <w:rsid w:val="530F0D59"/>
    <w:rsid w:val="532C5467"/>
    <w:rsid w:val="53400F13"/>
    <w:rsid w:val="53496C6B"/>
    <w:rsid w:val="535F3A8F"/>
    <w:rsid w:val="538434F5"/>
    <w:rsid w:val="53B536AF"/>
    <w:rsid w:val="53C02053"/>
    <w:rsid w:val="53EA0470"/>
    <w:rsid w:val="540567C7"/>
    <w:rsid w:val="54115235"/>
    <w:rsid w:val="54380789"/>
    <w:rsid w:val="544F44F7"/>
    <w:rsid w:val="546A418F"/>
    <w:rsid w:val="5472094E"/>
    <w:rsid w:val="54931516"/>
    <w:rsid w:val="549C486F"/>
    <w:rsid w:val="549E4143"/>
    <w:rsid w:val="54AB4AB2"/>
    <w:rsid w:val="54D1276A"/>
    <w:rsid w:val="54D2203E"/>
    <w:rsid w:val="54F76490"/>
    <w:rsid w:val="550B09E0"/>
    <w:rsid w:val="55144405"/>
    <w:rsid w:val="55312A98"/>
    <w:rsid w:val="553625CD"/>
    <w:rsid w:val="553C395C"/>
    <w:rsid w:val="55474042"/>
    <w:rsid w:val="554967A4"/>
    <w:rsid w:val="556E215B"/>
    <w:rsid w:val="556F3D8D"/>
    <w:rsid w:val="55D02697"/>
    <w:rsid w:val="55D26C9F"/>
    <w:rsid w:val="56020701"/>
    <w:rsid w:val="561D553B"/>
    <w:rsid w:val="56270168"/>
    <w:rsid w:val="562C206C"/>
    <w:rsid w:val="56332FB1"/>
    <w:rsid w:val="563B5030"/>
    <w:rsid w:val="56583543"/>
    <w:rsid w:val="56586573"/>
    <w:rsid w:val="567A473C"/>
    <w:rsid w:val="56876E58"/>
    <w:rsid w:val="56AD7D82"/>
    <w:rsid w:val="56B45E9F"/>
    <w:rsid w:val="56DC53F6"/>
    <w:rsid w:val="56E30533"/>
    <w:rsid w:val="56F47F5D"/>
    <w:rsid w:val="570A1F63"/>
    <w:rsid w:val="5712728C"/>
    <w:rsid w:val="571A66C4"/>
    <w:rsid w:val="571E6347"/>
    <w:rsid w:val="57286DB3"/>
    <w:rsid w:val="572F19CA"/>
    <w:rsid w:val="57720FDC"/>
    <w:rsid w:val="5774562F"/>
    <w:rsid w:val="57A31178"/>
    <w:rsid w:val="57D165DD"/>
    <w:rsid w:val="57DC0D06"/>
    <w:rsid w:val="5806097D"/>
    <w:rsid w:val="58093FC9"/>
    <w:rsid w:val="581004AA"/>
    <w:rsid w:val="58220680"/>
    <w:rsid w:val="582622EE"/>
    <w:rsid w:val="58481E52"/>
    <w:rsid w:val="58625843"/>
    <w:rsid w:val="587C3972"/>
    <w:rsid w:val="589F0489"/>
    <w:rsid w:val="58A35269"/>
    <w:rsid w:val="58A81A34"/>
    <w:rsid w:val="58A837E2"/>
    <w:rsid w:val="58C8276C"/>
    <w:rsid w:val="58DF57F5"/>
    <w:rsid w:val="58F9403E"/>
    <w:rsid w:val="590D7AE9"/>
    <w:rsid w:val="590E560F"/>
    <w:rsid w:val="59323EA7"/>
    <w:rsid w:val="5949535F"/>
    <w:rsid w:val="59722042"/>
    <w:rsid w:val="597F35F6"/>
    <w:rsid w:val="599651FE"/>
    <w:rsid w:val="59B2243E"/>
    <w:rsid w:val="59C7413C"/>
    <w:rsid w:val="59F12F67"/>
    <w:rsid w:val="5A04767A"/>
    <w:rsid w:val="5A1117CC"/>
    <w:rsid w:val="5A4E38A6"/>
    <w:rsid w:val="5A5B515A"/>
    <w:rsid w:val="5AA4447D"/>
    <w:rsid w:val="5ABA77FD"/>
    <w:rsid w:val="5ABE313D"/>
    <w:rsid w:val="5ACD1696"/>
    <w:rsid w:val="5AEC590E"/>
    <w:rsid w:val="5AF64503"/>
    <w:rsid w:val="5B127639"/>
    <w:rsid w:val="5B184523"/>
    <w:rsid w:val="5B264E92"/>
    <w:rsid w:val="5B4041A6"/>
    <w:rsid w:val="5B50656D"/>
    <w:rsid w:val="5B644A39"/>
    <w:rsid w:val="5B8FCF33"/>
    <w:rsid w:val="5BB029AE"/>
    <w:rsid w:val="5BC36B85"/>
    <w:rsid w:val="5BCC3C8B"/>
    <w:rsid w:val="5BCF552A"/>
    <w:rsid w:val="5BD161ED"/>
    <w:rsid w:val="5BE2525D"/>
    <w:rsid w:val="5C163158"/>
    <w:rsid w:val="5C3B496D"/>
    <w:rsid w:val="5C4E46A0"/>
    <w:rsid w:val="5C6B34A4"/>
    <w:rsid w:val="5C8E2CEF"/>
    <w:rsid w:val="5CB66A53"/>
    <w:rsid w:val="5CC04E72"/>
    <w:rsid w:val="5CE70651"/>
    <w:rsid w:val="5CE82B4D"/>
    <w:rsid w:val="5CFF3BED"/>
    <w:rsid w:val="5D0134C1"/>
    <w:rsid w:val="5D0B35B7"/>
    <w:rsid w:val="5D4C7FE2"/>
    <w:rsid w:val="5D5A7075"/>
    <w:rsid w:val="5D6677C8"/>
    <w:rsid w:val="5D8D2FA6"/>
    <w:rsid w:val="5DA327CA"/>
    <w:rsid w:val="5DA46FBF"/>
    <w:rsid w:val="5DB42C29"/>
    <w:rsid w:val="5DEE4A67"/>
    <w:rsid w:val="5E1E79DD"/>
    <w:rsid w:val="5E251431"/>
    <w:rsid w:val="5E2751A9"/>
    <w:rsid w:val="5E547F68"/>
    <w:rsid w:val="5E56783C"/>
    <w:rsid w:val="5E616929"/>
    <w:rsid w:val="5E655CD1"/>
    <w:rsid w:val="5E6E05A1"/>
    <w:rsid w:val="5E960581"/>
    <w:rsid w:val="5E9D36BD"/>
    <w:rsid w:val="5EA94F39"/>
    <w:rsid w:val="5EAE7678"/>
    <w:rsid w:val="5EFF7612"/>
    <w:rsid w:val="5F1020E1"/>
    <w:rsid w:val="5F131BD1"/>
    <w:rsid w:val="5F464EF6"/>
    <w:rsid w:val="5F5D2E4C"/>
    <w:rsid w:val="5F7C7776"/>
    <w:rsid w:val="5F7F2B99"/>
    <w:rsid w:val="5F804F7C"/>
    <w:rsid w:val="5F84507B"/>
    <w:rsid w:val="5FA66C4C"/>
    <w:rsid w:val="5FBE38EB"/>
    <w:rsid w:val="5FBF32AD"/>
    <w:rsid w:val="5FCF5AF8"/>
    <w:rsid w:val="5FD70E51"/>
    <w:rsid w:val="5FEB7598"/>
    <w:rsid w:val="600C1085"/>
    <w:rsid w:val="6011272D"/>
    <w:rsid w:val="602F6597"/>
    <w:rsid w:val="6037369D"/>
    <w:rsid w:val="60406308"/>
    <w:rsid w:val="604E4E9A"/>
    <w:rsid w:val="605F4325"/>
    <w:rsid w:val="60602BF4"/>
    <w:rsid w:val="607466A0"/>
    <w:rsid w:val="608A1A1F"/>
    <w:rsid w:val="60964868"/>
    <w:rsid w:val="609B3C2C"/>
    <w:rsid w:val="60E91231"/>
    <w:rsid w:val="60F4742F"/>
    <w:rsid w:val="6126799A"/>
    <w:rsid w:val="61751553"/>
    <w:rsid w:val="617D17A4"/>
    <w:rsid w:val="61A35225"/>
    <w:rsid w:val="61B228BF"/>
    <w:rsid w:val="61BF7DEE"/>
    <w:rsid w:val="61DF5D9B"/>
    <w:rsid w:val="62325F41"/>
    <w:rsid w:val="6256605D"/>
    <w:rsid w:val="626055AF"/>
    <w:rsid w:val="62680EC9"/>
    <w:rsid w:val="627860A0"/>
    <w:rsid w:val="62804CAC"/>
    <w:rsid w:val="628250A4"/>
    <w:rsid w:val="629C67BC"/>
    <w:rsid w:val="62BB05B6"/>
    <w:rsid w:val="62D653F0"/>
    <w:rsid w:val="62E670F3"/>
    <w:rsid w:val="630C6032"/>
    <w:rsid w:val="630E4B89"/>
    <w:rsid w:val="633D546F"/>
    <w:rsid w:val="63454B2F"/>
    <w:rsid w:val="63707393"/>
    <w:rsid w:val="63804C65"/>
    <w:rsid w:val="63C35974"/>
    <w:rsid w:val="63DA4A6C"/>
    <w:rsid w:val="63FE69AC"/>
    <w:rsid w:val="64065861"/>
    <w:rsid w:val="6442263E"/>
    <w:rsid w:val="64947114"/>
    <w:rsid w:val="64AA5257"/>
    <w:rsid w:val="64C432EC"/>
    <w:rsid w:val="651D10B4"/>
    <w:rsid w:val="652D7AB2"/>
    <w:rsid w:val="6530528B"/>
    <w:rsid w:val="656B46CF"/>
    <w:rsid w:val="65A544AC"/>
    <w:rsid w:val="65D35C16"/>
    <w:rsid w:val="65FE2409"/>
    <w:rsid w:val="65FE7137"/>
    <w:rsid w:val="660D3812"/>
    <w:rsid w:val="660D4F89"/>
    <w:rsid w:val="661A55F3"/>
    <w:rsid w:val="66387CAD"/>
    <w:rsid w:val="664D7F9B"/>
    <w:rsid w:val="66507267"/>
    <w:rsid w:val="66644AC0"/>
    <w:rsid w:val="668034B2"/>
    <w:rsid w:val="668D432D"/>
    <w:rsid w:val="66A3028A"/>
    <w:rsid w:val="66A650D9"/>
    <w:rsid w:val="6704486C"/>
    <w:rsid w:val="67132A4B"/>
    <w:rsid w:val="671B1581"/>
    <w:rsid w:val="672A3F5C"/>
    <w:rsid w:val="672B07F9"/>
    <w:rsid w:val="6731373A"/>
    <w:rsid w:val="67564D51"/>
    <w:rsid w:val="678371C8"/>
    <w:rsid w:val="67DD0FCE"/>
    <w:rsid w:val="67DF478F"/>
    <w:rsid w:val="67E11BC9"/>
    <w:rsid w:val="67ED7463"/>
    <w:rsid w:val="683768F9"/>
    <w:rsid w:val="68582403"/>
    <w:rsid w:val="685A617B"/>
    <w:rsid w:val="6860371C"/>
    <w:rsid w:val="68646C6B"/>
    <w:rsid w:val="6874548F"/>
    <w:rsid w:val="68866AA8"/>
    <w:rsid w:val="68AE03DB"/>
    <w:rsid w:val="68D777CC"/>
    <w:rsid w:val="68EA5751"/>
    <w:rsid w:val="68F13666"/>
    <w:rsid w:val="68F91E38"/>
    <w:rsid w:val="69026F3E"/>
    <w:rsid w:val="690600B1"/>
    <w:rsid w:val="69112CDD"/>
    <w:rsid w:val="6911609A"/>
    <w:rsid w:val="69232A11"/>
    <w:rsid w:val="69407A67"/>
    <w:rsid w:val="6950078F"/>
    <w:rsid w:val="696A346D"/>
    <w:rsid w:val="69B61AD7"/>
    <w:rsid w:val="69D63E6E"/>
    <w:rsid w:val="69E44896"/>
    <w:rsid w:val="6A050368"/>
    <w:rsid w:val="6A0B1B52"/>
    <w:rsid w:val="6A164324"/>
    <w:rsid w:val="6A386990"/>
    <w:rsid w:val="6A4C2399"/>
    <w:rsid w:val="6A68629D"/>
    <w:rsid w:val="6A6D6639"/>
    <w:rsid w:val="6A8120E5"/>
    <w:rsid w:val="6A9C0CCD"/>
    <w:rsid w:val="6AA07B47"/>
    <w:rsid w:val="6AB9187F"/>
    <w:rsid w:val="6AC02C0D"/>
    <w:rsid w:val="6AD62431"/>
    <w:rsid w:val="6AE846E3"/>
    <w:rsid w:val="6B126460"/>
    <w:rsid w:val="6B1F1696"/>
    <w:rsid w:val="6B342CB9"/>
    <w:rsid w:val="6B454EC0"/>
    <w:rsid w:val="6B721A2E"/>
    <w:rsid w:val="6B80414A"/>
    <w:rsid w:val="6B863A1B"/>
    <w:rsid w:val="6B865BA9"/>
    <w:rsid w:val="6B8C2AEF"/>
    <w:rsid w:val="6B9615A3"/>
    <w:rsid w:val="6BAC3191"/>
    <w:rsid w:val="6BC648A8"/>
    <w:rsid w:val="6BF46439"/>
    <w:rsid w:val="6BFB1A23"/>
    <w:rsid w:val="6BFB5EC7"/>
    <w:rsid w:val="6BFF3A7A"/>
    <w:rsid w:val="6C0A7EB8"/>
    <w:rsid w:val="6C376EFF"/>
    <w:rsid w:val="6C6972D4"/>
    <w:rsid w:val="6C7D068A"/>
    <w:rsid w:val="6C8859AD"/>
    <w:rsid w:val="6CDA788A"/>
    <w:rsid w:val="6D013069"/>
    <w:rsid w:val="6D0468F2"/>
    <w:rsid w:val="6D0F39D8"/>
    <w:rsid w:val="6D167F40"/>
    <w:rsid w:val="6D25144D"/>
    <w:rsid w:val="6D2531FB"/>
    <w:rsid w:val="6D286848"/>
    <w:rsid w:val="6D2A0812"/>
    <w:rsid w:val="6D3925E5"/>
    <w:rsid w:val="6D4620B8"/>
    <w:rsid w:val="6D464F20"/>
    <w:rsid w:val="6D5451DC"/>
    <w:rsid w:val="6D5D5B5A"/>
    <w:rsid w:val="6D6F3412"/>
    <w:rsid w:val="6D7F1624"/>
    <w:rsid w:val="6D9E6B0A"/>
    <w:rsid w:val="6DA83E0C"/>
    <w:rsid w:val="6DB61B32"/>
    <w:rsid w:val="6DBE71AC"/>
    <w:rsid w:val="6DE20811"/>
    <w:rsid w:val="6DE44E65"/>
    <w:rsid w:val="6DE92C47"/>
    <w:rsid w:val="6E0C43BB"/>
    <w:rsid w:val="6E407BC1"/>
    <w:rsid w:val="6E4964BF"/>
    <w:rsid w:val="6E5B7F84"/>
    <w:rsid w:val="6E76659D"/>
    <w:rsid w:val="6E777A87"/>
    <w:rsid w:val="6E7F06E9"/>
    <w:rsid w:val="6E861244"/>
    <w:rsid w:val="6E9D3190"/>
    <w:rsid w:val="6EA10FD4"/>
    <w:rsid w:val="6EB04D47"/>
    <w:rsid w:val="6EE65FD0"/>
    <w:rsid w:val="6EEF5FBA"/>
    <w:rsid w:val="6EEF788C"/>
    <w:rsid w:val="6EF41900"/>
    <w:rsid w:val="6EF74724"/>
    <w:rsid w:val="6F125A01"/>
    <w:rsid w:val="6F1F3C7A"/>
    <w:rsid w:val="6F2319BD"/>
    <w:rsid w:val="6F2A2D4B"/>
    <w:rsid w:val="6F3E67F6"/>
    <w:rsid w:val="6F3F60CB"/>
    <w:rsid w:val="6F467459"/>
    <w:rsid w:val="6F4831D1"/>
    <w:rsid w:val="6F71DAA7"/>
    <w:rsid w:val="6F9314E5"/>
    <w:rsid w:val="6F9927A9"/>
    <w:rsid w:val="6F99464A"/>
    <w:rsid w:val="6FD63E81"/>
    <w:rsid w:val="6FEB37AA"/>
    <w:rsid w:val="6FF670D1"/>
    <w:rsid w:val="6FFF35DB"/>
    <w:rsid w:val="70251764"/>
    <w:rsid w:val="703674CE"/>
    <w:rsid w:val="703903A6"/>
    <w:rsid w:val="70447E3C"/>
    <w:rsid w:val="706D4D57"/>
    <w:rsid w:val="70981B5C"/>
    <w:rsid w:val="70CB774F"/>
    <w:rsid w:val="70D171F6"/>
    <w:rsid w:val="70E651C2"/>
    <w:rsid w:val="71080E6A"/>
    <w:rsid w:val="710A086D"/>
    <w:rsid w:val="7115394F"/>
    <w:rsid w:val="7128150C"/>
    <w:rsid w:val="71381023"/>
    <w:rsid w:val="713A2FED"/>
    <w:rsid w:val="71436346"/>
    <w:rsid w:val="71454595"/>
    <w:rsid w:val="714F6012"/>
    <w:rsid w:val="7163510C"/>
    <w:rsid w:val="716D6179"/>
    <w:rsid w:val="71D7083C"/>
    <w:rsid w:val="71D84CE0"/>
    <w:rsid w:val="71DB032D"/>
    <w:rsid w:val="71F1013E"/>
    <w:rsid w:val="723D4B43"/>
    <w:rsid w:val="723E08BB"/>
    <w:rsid w:val="72730565"/>
    <w:rsid w:val="727C248C"/>
    <w:rsid w:val="727F515C"/>
    <w:rsid w:val="72A471DF"/>
    <w:rsid w:val="72A526E9"/>
    <w:rsid w:val="72CB03A1"/>
    <w:rsid w:val="72F07C93"/>
    <w:rsid w:val="72F62F44"/>
    <w:rsid w:val="73131732"/>
    <w:rsid w:val="731D7F10"/>
    <w:rsid w:val="732775A1"/>
    <w:rsid w:val="73506AF8"/>
    <w:rsid w:val="73522870"/>
    <w:rsid w:val="736B09BB"/>
    <w:rsid w:val="736C1141"/>
    <w:rsid w:val="73740A39"/>
    <w:rsid w:val="737F09F7"/>
    <w:rsid w:val="73BC1D93"/>
    <w:rsid w:val="73C57236"/>
    <w:rsid w:val="74070182"/>
    <w:rsid w:val="740A2FD1"/>
    <w:rsid w:val="741C4C2C"/>
    <w:rsid w:val="742A559B"/>
    <w:rsid w:val="74373814"/>
    <w:rsid w:val="743B75F8"/>
    <w:rsid w:val="744E128A"/>
    <w:rsid w:val="74542618"/>
    <w:rsid w:val="745D771F"/>
    <w:rsid w:val="74624D35"/>
    <w:rsid w:val="747350C1"/>
    <w:rsid w:val="74806F8A"/>
    <w:rsid w:val="74A52E74"/>
    <w:rsid w:val="74B248B4"/>
    <w:rsid w:val="74D001FC"/>
    <w:rsid w:val="74DD5C89"/>
    <w:rsid w:val="74E67981"/>
    <w:rsid w:val="74F93906"/>
    <w:rsid w:val="756A1E27"/>
    <w:rsid w:val="759A04FF"/>
    <w:rsid w:val="75B94E29"/>
    <w:rsid w:val="75BA64AB"/>
    <w:rsid w:val="75C612F4"/>
    <w:rsid w:val="75D7705D"/>
    <w:rsid w:val="75DB056E"/>
    <w:rsid w:val="75DF02D3"/>
    <w:rsid w:val="75E15591"/>
    <w:rsid w:val="75FA73DC"/>
    <w:rsid w:val="75FB64DD"/>
    <w:rsid w:val="760E00AF"/>
    <w:rsid w:val="76135BC0"/>
    <w:rsid w:val="762B6CE9"/>
    <w:rsid w:val="76300070"/>
    <w:rsid w:val="764A5A81"/>
    <w:rsid w:val="768B56A2"/>
    <w:rsid w:val="76AD0614"/>
    <w:rsid w:val="76CE304C"/>
    <w:rsid w:val="76DD06A3"/>
    <w:rsid w:val="770025E3"/>
    <w:rsid w:val="771E384F"/>
    <w:rsid w:val="771F0CBB"/>
    <w:rsid w:val="77271704"/>
    <w:rsid w:val="7737541E"/>
    <w:rsid w:val="77612C7F"/>
    <w:rsid w:val="77671BAD"/>
    <w:rsid w:val="777BE1E5"/>
    <w:rsid w:val="777F175A"/>
    <w:rsid w:val="777F4E56"/>
    <w:rsid w:val="777FFB5A"/>
    <w:rsid w:val="779773CD"/>
    <w:rsid w:val="77B70EF4"/>
    <w:rsid w:val="77BD2282"/>
    <w:rsid w:val="77C01083"/>
    <w:rsid w:val="77CD7B4C"/>
    <w:rsid w:val="77D53A70"/>
    <w:rsid w:val="77E31CE9"/>
    <w:rsid w:val="77E837A3"/>
    <w:rsid w:val="77F9BDFE"/>
    <w:rsid w:val="780659D7"/>
    <w:rsid w:val="781E79F3"/>
    <w:rsid w:val="785B34DC"/>
    <w:rsid w:val="78720B32"/>
    <w:rsid w:val="78803269"/>
    <w:rsid w:val="789A7408"/>
    <w:rsid w:val="78A551F0"/>
    <w:rsid w:val="78D92AE5"/>
    <w:rsid w:val="78DD4B16"/>
    <w:rsid w:val="78E1611B"/>
    <w:rsid w:val="78E421BD"/>
    <w:rsid w:val="791800B8"/>
    <w:rsid w:val="79202AC9"/>
    <w:rsid w:val="794111F1"/>
    <w:rsid w:val="794762A8"/>
    <w:rsid w:val="795D6D6C"/>
    <w:rsid w:val="79B323EB"/>
    <w:rsid w:val="79B6B7CA"/>
    <w:rsid w:val="79DC614A"/>
    <w:rsid w:val="79ED32F3"/>
    <w:rsid w:val="79FC7092"/>
    <w:rsid w:val="79FF8825"/>
    <w:rsid w:val="7A0E28F3"/>
    <w:rsid w:val="7A0F3269"/>
    <w:rsid w:val="7A7AC12C"/>
    <w:rsid w:val="7AB81C5C"/>
    <w:rsid w:val="7AC47217"/>
    <w:rsid w:val="7AD2618C"/>
    <w:rsid w:val="7AD973D3"/>
    <w:rsid w:val="7ADD3D16"/>
    <w:rsid w:val="7AE149BD"/>
    <w:rsid w:val="7AE262DC"/>
    <w:rsid w:val="7AE975E8"/>
    <w:rsid w:val="7AFB1A3F"/>
    <w:rsid w:val="7AFB37ED"/>
    <w:rsid w:val="7B147078"/>
    <w:rsid w:val="7B211F2B"/>
    <w:rsid w:val="7B647A4D"/>
    <w:rsid w:val="7B6F1AE6"/>
    <w:rsid w:val="7B8803EB"/>
    <w:rsid w:val="7B9C3DEB"/>
    <w:rsid w:val="7BC462D5"/>
    <w:rsid w:val="7BDFE1A2"/>
    <w:rsid w:val="7BF70D88"/>
    <w:rsid w:val="7C116C27"/>
    <w:rsid w:val="7C2B0102"/>
    <w:rsid w:val="7C5238E1"/>
    <w:rsid w:val="7C6453C2"/>
    <w:rsid w:val="7C7E1CA6"/>
    <w:rsid w:val="7C8C1416"/>
    <w:rsid w:val="7CB00608"/>
    <w:rsid w:val="7CE502B1"/>
    <w:rsid w:val="7CF57E0E"/>
    <w:rsid w:val="7CFE890A"/>
    <w:rsid w:val="7D0F17D2"/>
    <w:rsid w:val="7D16490F"/>
    <w:rsid w:val="7D491FE6"/>
    <w:rsid w:val="7D5947FB"/>
    <w:rsid w:val="7D7804ED"/>
    <w:rsid w:val="7D7FC70A"/>
    <w:rsid w:val="7D935155"/>
    <w:rsid w:val="7D9854CF"/>
    <w:rsid w:val="7DA939D5"/>
    <w:rsid w:val="7DB163E5"/>
    <w:rsid w:val="7DC97BD3"/>
    <w:rsid w:val="7DF509C8"/>
    <w:rsid w:val="7E235535"/>
    <w:rsid w:val="7E2B263C"/>
    <w:rsid w:val="7E441829"/>
    <w:rsid w:val="7E45714A"/>
    <w:rsid w:val="7E5C285E"/>
    <w:rsid w:val="7E5F5E41"/>
    <w:rsid w:val="7E7713DD"/>
    <w:rsid w:val="7E8104AE"/>
    <w:rsid w:val="7E861620"/>
    <w:rsid w:val="7E8B290D"/>
    <w:rsid w:val="7EA128FE"/>
    <w:rsid w:val="7EB61A85"/>
    <w:rsid w:val="7EBD10C4"/>
    <w:rsid w:val="7EBF5433"/>
    <w:rsid w:val="7ECD36F3"/>
    <w:rsid w:val="7EDEFF37"/>
    <w:rsid w:val="7F1A57E0"/>
    <w:rsid w:val="7F1B620C"/>
    <w:rsid w:val="7F455247"/>
    <w:rsid w:val="7F480FCB"/>
    <w:rsid w:val="7F63377E"/>
    <w:rsid w:val="7F794455"/>
    <w:rsid w:val="7F7B314F"/>
    <w:rsid w:val="7F8A405C"/>
    <w:rsid w:val="7F961D37"/>
    <w:rsid w:val="7F9E3871"/>
    <w:rsid w:val="7F9F508F"/>
    <w:rsid w:val="7F9F6E3D"/>
    <w:rsid w:val="7FB56661"/>
    <w:rsid w:val="7FD7EB92"/>
    <w:rsid w:val="7FDD71BC"/>
    <w:rsid w:val="7FEC7BA9"/>
    <w:rsid w:val="7FF32CE5"/>
    <w:rsid w:val="AEFCF951"/>
    <w:rsid w:val="AF99DD8F"/>
    <w:rsid w:val="BAF273D9"/>
    <w:rsid w:val="BDDB2997"/>
    <w:rsid w:val="BF7B5784"/>
    <w:rsid w:val="C678E9DF"/>
    <w:rsid w:val="CB2D2EAA"/>
    <w:rsid w:val="CFF2C08D"/>
    <w:rsid w:val="D0FF3234"/>
    <w:rsid w:val="D94B0D6A"/>
    <w:rsid w:val="DAF530A5"/>
    <w:rsid w:val="DDE72AE9"/>
    <w:rsid w:val="DE7EA8C2"/>
    <w:rsid w:val="DF9EA91C"/>
    <w:rsid w:val="DF9FC4DF"/>
    <w:rsid w:val="DFAB15AD"/>
    <w:rsid w:val="DFF773C7"/>
    <w:rsid w:val="E367312B"/>
    <w:rsid w:val="E7B40FA2"/>
    <w:rsid w:val="EA2D3817"/>
    <w:rsid w:val="EBDE89C0"/>
    <w:rsid w:val="EBF713C1"/>
    <w:rsid w:val="EFDF93A9"/>
    <w:rsid w:val="F7D9E16E"/>
    <w:rsid w:val="F7FE5614"/>
    <w:rsid w:val="F91F4BCC"/>
    <w:rsid w:val="F9D6B31B"/>
    <w:rsid w:val="FB7B32DF"/>
    <w:rsid w:val="FBCD507D"/>
    <w:rsid w:val="FEFF414D"/>
    <w:rsid w:val="FF0FFB7B"/>
    <w:rsid w:val="FF7BF43A"/>
    <w:rsid w:val="FFAEBF80"/>
    <w:rsid w:val="FFED6547"/>
    <w:rsid w:val="FFF337A6"/>
    <w:rsid w:val="FFFF9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2">
    <w:name w:val="Normal Indent"/>
    <w:basedOn w:val="1"/>
    <w:autoRedefine/>
    <w:qFormat/>
    <w:uiPriority w:val="0"/>
    <w:pPr>
      <w:ind w:firstLine="680"/>
    </w:pPr>
    <w:rPr>
      <w:rFonts w:ascii="Calibri" w:hAnsi="Calibri"/>
    </w:rPr>
  </w:style>
  <w:style w:type="paragraph" w:styleId="3">
    <w:name w:val="annotation text"/>
    <w:basedOn w:val="1"/>
    <w:link w:val="17"/>
    <w:autoRedefine/>
    <w:qFormat/>
    <w:uiPriority w:val="0"/>
    <w:pPr>
      <w:jc w:val="left"/>
    </w:pPr>
    <w:rPr>
      <w:rFonts w:ascii="Calibri" w:hAnsi="Calibri"/>
      <w:lang w:val="zh-CN"/>
    </w:rPr>
  </w:style>
  <w:style w:type="paragraph" w:styleId="4">
    <w:name w:val="Body Text"/>
    <w:basedOn w:val="1"/>
    <w:autoRedefine/>
    <w:qFormat/>
    <w:uiPriority w:val="1"/>
    <w:pPr>
      <w:spacing w:before="5"/>
      <w:ind w:left="138"/>
    </w:pPr>
    <w:rPr>
      <w:rFonts w:ascii="宋体" w:hAnsi="宋体" w:cs="宋体"/>
      <w:sz w:val="32"/>
      <w:szCs w:val="32"/>
      <w:lang w:val="zh-CN" w:bidi="zh-CN"/>
    </w:rPr>
  </w:style>
  <w:style w:type="paragraph" w:styleId="5">
    <w:name w:val="Body Text Indent"/>
    <w:basedOn w:val="1"/>
    <w:link w:val="18"/>
    <w:autoRedefine/>
    <w:qFormat/>
    <w:uiPriority w:val="0"/>
    <w:pPr>
      <w:tabs>
        <w:tab w:val="left" w:pos="360"/>
      </w:tabs>
      <w:ind w:left="180" w:firstLine="600"/>
    </w:pPr>
    <w:rPr>
      <w:rFonts w:ascii="宋体" w:hAnsi="宋体"/>
      <w:sz w:val="30"/>
      <w:szCs w:val="30"/>
      <w:lang w:val="zh-CN"/>
    </w:rPr>
  </w:style>
  <w:style w:type="paragraph" w:styleId="6">
    <w:name w:val="Balloon Text"/>
    <w:basedOn w:val="1"/>
    <w:link w:val="19"/>
    <w:autoRedefine/>
    <w:qFormat/>
    <w:uiPriority w:val="0"/>
    <w:rPr>
      <w:sz w:val="18"/>
      <w:szCs w:val="18"/>
      <w:lang w:val="zh-CN"/>
    </w:rPr>
  </w:style>
  <w:style w:type="paragraph" w:styleId="7">
    <w:name w:val="footer"/>
    <w:basedOn w:val="1"/>
    <w:link w:val="20"/>
    <w:autoRedefine/>
    <w:qFormat/>
    <w:uiPriority w:val="99"/>
    <w:pPr>
      <w:tabs>
        <w:tab w:val="center" w:pos="4153"/>
        <w:tab w:val="right" w:pos="8306"/>
      </w:tabs>
      <w:snapToGrid w:val="0"/>
      <w:jc w:val="left"/>
    </w:pPr>
    <w:rPr>
      <w:sz w:val="18"/>
      <w:szCs w:val="18"/>
      <w:lang w:val="zh-CN"/>
    </w:rPr>
  </w:style>
  <w:style w:type="paragraph" w:styleId="8">
    <w:name w:val="header"/>
    <w:basedOn w:val="1"/>
    <w:autoRedefine/>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autoRedefine/>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next w:val="3"/>
    <w:link w:val="21"/>
    <w:autoRedefine/>
    <w:qFormat/>
    <w:uiPriority w:val="0"/>
    <w:rPr>
      <w:b/>
      <w:bCs/>
    </w:rPr>
  </w:style>
  <w:style w:type="table" w:styleId="12">
    <w:name w:val="Table Grid"/>
    <w:basedOn w:val="11"/>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autoRedefine/>
    <w:qFormat/>
    <w:uiPriority w:val="0"/>
    <w:rPr>
      <w:b/>
    </w:rPr>
  </w:style>
  <w:style w:type="character" w:styleId="15">
    <w:name w:val="Hyperlink"/>
    <w:basedOn w:val="13"/>
    <w:autoRedefine/>
    <w:qFormat/>
    <w:uiPriority w:val="0"/>
    <w:rPr>
      <w:color w:val="0000FF"/>
      <w:u w:val="single"/>
    </w:rPr>
  </w:style>
  <w:style w:type="character" w:styleId="16">
    <w:name w:val="annotation reference"/>
    <w:autoRedefine/>
    <w:qFormat/>
    <w:uiPriority w:val="0"/>
    <w:rPr>
      <w:sz w:val="21"/>
      <w:szCs w:val="21"/>
    </w:rPr>
  </w:style>
  <w:style w:type="character" w:customStyle="1" w:styleId="17">
    <w:name w:val="批注文字 字符"/>
    <w:link w:val="3"/>
    <w:autoRedefine/>
    <w:qFormat/>
    <w:uiPriority w:val="0"/>
    <w:rPr>
      <w:rFonts w:ascii="Calibri" w:hAnsi="Calibri"/>
      <w:kern w:val="2"/>
      <w:sz w:val="21"/>
      <w:szCs w:val="24"/>
    </w:rPr>
  </w:style>
  <w:style w:type="character" w:customStyle="1" w:styleId="18">
    <w:name w:val="正文文本缩进 字符"/>
    <w:link w:val="5"/>
    <w:autoRedefine/>
    <w:qFormat/>
    <w:uiPriority w:val="0"/>
    <w:rPr>
      <w:rFonts w:ascii="宋体" w:hAnsi="宋体"/>
      <w:kern w:val="2"/>
      <w:sz w:val="30"/>
      <w:szCs w:val="30"/>
    </w:rPr>
  </w:style>
  <w:style w:type="character" w:customStyle="1" w:styleId="19">
    <w:name w:val="批注框文本 字符"/>
    <w:link w:val="6"/>
    <w:autoRedefine/>
    <w:qFormat/>
    <w:uiPriority w:val="0"/>
    <w:rPr>
      <w:kern w:val="2"/>
      <w:sz w:val="18"/>
      <w:szCs w:val="18"/>
    </w:rPr>
  </w:style>
  <w:style w:type="character" w:customStyle="1" w:styleId="20">
    <w:name w:val="页脚 字符"/>
    <w:link w:val="7"/>
    <w:autoRedefine/>
    <w:qFormat/>
    <w:uiPriority w:val="99"/>
    <w:rPr>
      <w:kern w:val="2"/>
      <w:sz w:val="18"/>
      <w:szCs w:val="18"/>
    </w:rPr>
  </w:style>
  <w:style w:type="character" w:customStyle="1" w:styleId="21">
    <w:name w:val="批注主题 字符"/>
    <w:link w:val="10"/>
    <w:autoRedefine/>
    <w:qFormat/>
    <w:uiPriority w:val="0"/>
    <w:rPr>
      <w:rFonts w:ascii="Calibri" w:hAnsi="Calibri"/>
      <w:b/>
      <w:bCs/>
      <w:kern w:val="2"/>
      <w:sz w:val="21"/>
      <w:szCs w:val="24"/>
    </w:rPr>
  </w:style>
  <w:style w:type="paragraph" w:customStyle="1" w:styleId="22">
    <w:name w:val="Char Char Char Char"/>
    <w:basedOn w:val="1"/>
    <w:autoRedefine/>
    <w:qFormat/>
    <w:uiPriority w:val="0"/>
    <w:pPr>
      <w:widowControl/>
      <w:spacing w:after="160" w:line="240" w:lineRule="exact"/>
      <w:jc w:val="left"/>
    </w:pPr>
  </w:style>
  <w:style w:type="paragraph" w:styleId="23">
    <w:name w:val="List Paragraph"/>
    <w:basedOn w:val="1"/>
    <w:autoRedefine/>
    <w:qFormat/>
    <w:uiPriority w:val="99"/>
    <w:pPr>
      <w:ind w:left="138" w:right="436" w:firstLine="638"/>
    </w:pPr>
    <w:rPr>
      <w:rFonts w:ascii="宋体" w:hAnsi="宋体" w:cs="宋体"/>
      <w:lang w:val="zh-CN" w:bidi="zh-CN"/>
    </w:rPr>
  </w:style>
  <w:style w:type="paragraph" w:customStyle="1" w:styleId="24">
    <w:name w:val="修订1"/>
    <w:autoRedefine/>
    <w:unhideWhenUsed/>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5" Type="http://schemas.openxmlformats.org/officeDocument/2006/relationships/font" Target="fonts/font5.odttf"/><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微软中国</Company>
  <Pages>10</Pages>
  <Words>5948</Words>
  <Characters>6383</Characters>
  <Lines>52</Lines>
  <Paragraphs>14</Paragraphs>
  <TotalTime>4</TotalTime>
  <ScaleCrop>false</ScaleCrop>
  <LinksUpToDate>false</LinksUpToDate>
  <CharactersWithSpaces>6666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易木易</cp:lastModifiedBy>
  <cp:lastPrinted>2025-01-08T09:34:00Z</cp:lastPrinted>
  <dcterms:modified xsi:type="dcterms:W3CDTF">2025-01-25T03:34:07Z</dcterms:modified>
  <dc:title>湖南商务职业技术学院2014年招生章程</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B9755BD1411C49B285CAF26F3709DFAE_13</vt:lpwstr>
  </property>
  <property fmtid="{D5CDD505-2E9C-101B-9397-08002B2CF9AE}" pid="4" name="KSOTemplateDocerSaveRecord">
    <vt:lpwstr>eyJoZGlkIjoiNmJhODExYTYyMWEwODQxYjUyODNkZmFhMGViYTJlYWIiLCJ1c2VySWQiOiI3NDA3NTc3NjkifQ==</vt:lpwstr>
  </property>
</Properties>
</file>