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D10D15">
      <w:pPr>
        <w:spacing w:before="156" w:beforeLines="50" w:after="156" w:afterLines="50" w:line="500" w:lineRule="exact"/>
        <w:jc w:val="center"/>
        <w:rPr>
          <w:rFonts w:hint="eastAsia" w:ascii="仿宋" w:hAnsi="仿宋" w:eastAsia="仿宋" w:cs="华文中宋"/>
          <w:b/>
          <w:bCs/>
          <w:sz w:val="36"/>
          <w:szCs w:val="36"/>
        </w:rPr>
      </w:pPr>
      <w:bookmarkStart w:id="0" w:name="zhengwen"/>
      <w:r>
        <w:rPr>
          <w:rFonts w:hint="eastAsia" w:ascii="仿宋" w:hAnsi="仿宋" w:eastAsia="仿宋" w:cs="华文中宋"/>
          <w:b/>
          <w:bCs/>
          <w:sz w:val="36"/>
          <w:szCs w:val="36"/>
        </w:rPr>
        <w:t>湘中幼儿师范高等专科学校2025年高职单招章程</w:t>
      </w:r>
      <w:bookmarkEnd w:id="0"/>
    </w:p>
    <w:p w14:paraId="68CD1F42">
      <w:pPr>
        <w:numPr>
          <w:ilvl w:val="0"/>
          <w:numId w:val="1"/>
        </w:numPr>
        <w:spacing w:before="312" w:beforeLines="100" w:after="156" w:afterLines="50" w:line="68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总 则</w:t>
      </w:r>
    </w:p>
    <w:p w14:paraId="6871CCC9">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第一条 </w:t>
      </w:r>
      <w:r>
        <w:rPr>
          <w:rFonts w:hint="eastAsia" w:ascii="仿宋" w:hAnsi="仿宋" w:eastAsia="仿宋"/>
          <w:sz w:val="28"/>
          <w:szCs w:val="28"/>
        </w:rPr>
        <w:t>根据《中华人民共和国教育法》《中华人民共和国高等教育法》等法律法规及教育部有关规定，依据湖南省教育厅《关于做好湖南省2025年高职（高专）院校单独招生工作的通知》（湘教通〔2024〕271号）有关要求，结合学校单独招生工作（以下简称单招）实际，特制定本章程。</w:t>
      </w:r>
    </w:p>
    <w:p w14:paraId="066F102F">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第二条 </w:t>
      </w:r>
      <w:r>
        <w:rPr>
          <w:rFonts w:hint="eastAsia" w:ascii="仿宋" w:hAnsi="仿宋" w:eastAsia="仿宋"/>
          <w:sz w:val="28"/>
          <w:szCs w:val="28"/>
        </w:rPr>
        <w:t>学校全称：湘中幼儿师范高等专科学校</w:t>
      </w:r>
    </w:p>
    <w:p w14:paraId="42A413C6">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办学地点：湖南省邵阳市大祥区学院南路</w:t>
      </w:r>
    </w:p>
    <w:p w14:paraId="4DFC3E82">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主管部门：邵阳市人民政府</w:t>
      </w:r>
    </w:p>
    <w:p w14:paraId="0DC2B1B3">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办学层次：高职（专科）</w:t>
      </w:r>
    </w:p>
    <w:p w14:paraId="7CD7768C">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湖南省院校代号：4770</w:t>
      </w:r>
    </w:p>
    <w:p w14:paraId="0BCE9585">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办学类型：公办</w:t>
      </w:r>
    </w:p>
    <w:p w14:paraId="48B6D9B8">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第三条 </w:t>
      </w:r>
      <w:r>
        <w:rPr>
          <w:rFonts w:hint="eastAsia" w:ascii="仿宋" w:hAnsi="仿宋" w:eastAsia="仿宋"/>
          <w:sz w:val="28"/>
          <w:szCs w:val="28"/>
        </w:rPr>
        <w:t>颁发学历证书的学校名称：湘中幼儿师范高等专科学校。证书种类：普通高等学校全日制专科毕业证书。</w:t>
      </w:r>
    </w:p>
    <w:p w14:paraId="2ED2A78E">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第四条 </w:t>
      </w:r>
      <w:r>
        <w:rPr>
          <w:rFonts w:hint="eastAsia" w:ascii="仿宋" w:hAnsi="仿宋" w:eastAsia="仿宋"/>
          <w:sz w:val="28"/>
          <w:szCs w:val="28"/>
        </w:rPr>
        <w:t>学校单招工作遵循“公平竞争、公正选拔、公开透明”的原则，坚决执行招生政策规定和纪律要求，严格实施考试招生“阳光工程”。</w:t>
      </w:r>
    </w:p>
    <w:p w14:paraId="2B8D67A6">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第五条 </w:t>
      </w:r>
      <w:r>
        <w:rPr>
          <w:rFonts w:hint="eastAsia" w:ascii="仿宋" w:hAnsi="仿宋" w:eastAsia="仿宋"/>
          <w:sz w:val="28"/>
          <w:szCs w:val="28"/>
        </w:rPr>
        <w:t>学校简介：学校是一所全日制公办普通高等学校，是湖南省文明校园、湖南省铸牢中华民族共同体意识教育示范学校。占地面积857亩，教职工493人，其中有全国优秀教师、省职业教育“楚怡”教师教学创新团队及省“楚怡”教学名师等骨干力量。开设学前教育、小学教育、网络营销与直播电商、数字媒体技术等30余个专业，面向全国10个省（市、区）招生。</w:t>
      </w:r>
    </w:p>
    <w:p w14:paraId="3D4B59BD">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组织机构及职责</w:t>
      </w:r>
    </w:p>
    <w:p w14:paraId="4CE63DF5">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第六条 </w:t>
      </w:r>
      <w:r>
        <w:rPr>
          <w:rFonts w:hint="eastAsia" w:ascii="仿宋" w:hAnsi="仿宋" w:eastAsia="仿宋"/>
          <w:sz w:val="28"/>
          <w:szCs w:val="28"/>
        </w:rPr>
        <w:t>学校招生工作领导小组负责研究决定本校单招规模确定、政策制订等重大事项，学校招生就业指导处负责单招组织实施的日常工作，学校教务处负责单招的考试组织工作。</w:t>
      </w:r>
    </w:p>
    <w:p w14:paraId="7973061B">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第七条 </w:t>
      </w:r>
      <w:r>
        <w:rPr>
          <w:rFonts w:hint="eastAsia" w:ascii="仿宋" w:hAnsi="仿宋" w:eastAsia="仿宋"/>
          <w:sz w:val="28"/>
          <w:szCs w:val="28"/>
        </w:rPr>
        <w:t>学校纪委负责全程监督检查单招工作。</w:t>
      </w:r>
    </w:p>
    <w:p w14:paraId="047771BB">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单招报考</w:t>
      </w:r>
    </w:p>
    <w:p w14:paraId="7CC86DE2">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第八条 </w:t>
      </w:r>
      <w:r>
        <w:rPr>
          <w:rFonts w:hint="eastAsia" w:ascii="仿宋" w:hAnsi="仿宋" w:eastAsia="仿宋"/>
          <w:sz w:val="28"/>
          <w:szCs w:val="28"/>
        </w:rPr>
        <w:t>符合我省2025年普通高考（含对口招生考试）报名条件并已参加高考报名的人员均可报考。</w:t>
      </w:r>
    </w:p>
    <w:p w14:paraId="6F140405">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第九条 </w:t>
      </w:r>
      <w:r>
        <w:rPr>
          <w:rFonts w:hint="eastAsia" w:ascii="仿宋" w:hAnsi="仿宋" w:eastAsia="仿宋"/>
          <w:sz w:val="28"/>
          <w:szCs w:val="28"/>
        </w:rPr>
        <w:t>全省单招统一报考和填报志愿时间为2025年2月18日8:00开始，至2月25日17:00结束，实行网上报考和填报志愿。高职单招志愿设第一志愿和第二志愿，考生可根据自己意愿分别填报1所高职院校。没有填报高职单招志愿的考生，不得参加单招考试及录取。</w:t>
      </w:r>
    </w:p>
    <w:p w14:paraId="0A7748DB">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校网站（</w:t>
      </w:r>
      <w:r>
        <w:fldChar w:fldCharType="begin"/>
      </w:r>
      <w:r>
        <w:instrText xml:space="preserve"> HYPERLINK "https://www.xzyesf.cn" </w:instrText>
      </w:r>
      <w:r>
        <w:fldChar w:fldCharType="separate"/>
      </w:r>
      <w:r>
        <w:rPr>
          <w:rStyle w:val="8"/>
          <w:rFonts w:hint="eastAsia" w:ascii="仿宋" w:hAnsi="仿宋" w:eastAsia="仿宋"/>
          <w:color w:val="auto"/>
          <w:sz w:val="28"/>
          <w:szCs w:val="28"/>
        </w:rPr>
        <w:t>https://www.xzyesf.cn</w:t>
      </w:r>
      <w:r>
        <w:rPr>
          <w:rStyle w:val="8"/>
          <w:rFonts w:hint="eastAsia" w:ascii="仿宋" w:hAnsi="仿宋" w:eastAsia="仿宋"/>
          <w:color w:val="auto"/>
          <w:sz w:val="28"/>
          <w:szCs w:val="28"/>
        </w:rPr>
        <w:fldChar w:fldCharType="end"/>
      </w:r>
      <w:r>
        <w:rPr>
          <w:rFonts w:hint="eastAsia" w:ascii="仿宋" w:hAnsi="仿宋" w:eastAsia="仿宋"/>
          <w:sz w:val="28"/>
          <w:szCs w:val="28"/>
        </w:rPr>
        <w:t>）公布的有关信息。</w:t>
      </w:r>
    </w:p>
    <w:p w14:paraId="6529147E">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第十条</w:t>
      </w:r>
      <w:r>
        <w:rPr>
          <w:rFonts w:hint="eastAsia" w:ascii="仿宋" w:hAnsi="仿宋" w:eastAsia="仿宋"/>
          <w:sz w:val="28"/>
          <w:szCs w:val="28"/>
        </w:rPr>
        <w:t xml:space="preserve"> 填报专业要求。我校实行专业组志愿，考生在填报我校志愿时，需选择一个专业组中的一至六个专业，并确定是否选择专业服从调剂。</w:t>
      </w:r>
    </w:p>
    <w:p w14:paraId="1AA8850A">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第十一条 </w:t>
      </w:r>
      <w:r>
        <w:rPr>
          <w:rFonts w:hint="eastAsia" w:ascii="仿宋" w:hAnsi="仿宋" w:eastAsia="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4365F17A">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1.社会人员考生资格证明材料。所有社会人员考生均须提供本人身份证复印件及《湖南省2025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2330417E">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2.材料提交时间及方式。考生须在2025年2月22日8:00前将符合上述要求的证明材料，通过现场提交方式交由我校招生就业指导处审核（具体联系方式：19973923017 ）。</w:t>
      </w:r>
    </w:p>
    <w:p w14:paraId="21A54F53">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单招计划及专业</w:t>
      </w:r>
    </w:p>
    <w:p w14:paraId="719EB2BB">
      <w:pPr>
        <w:widowControl/>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第十二条 </w:t>
      </w:r>
      <w:r>
        <w:rPr>
          <w:rFonts w:hint="eastAsia" w:ascii="仿宋" w:hAnsi="仿宋" w:eastAsia="仿宋"/>
          <w:sz w:val="28"/>
          <w:szCs w:val="28"/>
        </w:rPr>
        <w:t>我校2025年单招总计划数为</w:t>
      </w:r>
      <w:r>
        <w:rPr>
          <w:rFonts w:hint="eastAsia" w:ascii="仿宋" w:hAnsi="仿宋" w:eastAsia="仿宋"/>
          <w:sz w:val="28"/>
          <w:szCs w:val="28"/>
          <w:lang w:val="en-US" w:eastAsia="zh-CN"/>
        </w:rPr>
        <w:t>1400</w:t>
      </w:r>
      <w:r>
        <w:rPr>
          <w:rFonts w:hint="eastAsia" w:ascii="仿宋" w:hAnsi="仿宋" w:eastAsia="仿宋"/>
          <w:sz w:val="28"/>
          <w:szCs w:val="28"/>
        </w:rPr>
        <w:t>人，其中包含单列计划的退役军人10人、其他社会人员20人。本校2025年</w:t>
      </w:r>
      <w:r>
        <w:rPr>
          <w:rFonts w:hint="eastAsia" w:ascii="仿宋" w:hAnsi="仿宋" w:eastAsia="仿宋"/>
          <w:sz w:val="28"/>
          <w:szCs w:val="28"/>
          <w:lang w:val="en-US" w:eastAsia="zh-CN"/>
        </w:rPr>
        <w:t>实际</w:t>
      </w:r>
      <w:r>
        <w:rPr>
          <w:rFonts w:hint="eastAsia" w:ascii="仿宋" w:hAnsi="仿宋" w:eastAsia="仿宋"/>
          <w:sz w:val="28"/>
          <w:szCs w:val="28"/>
        </w:rPr>
        <w:t>招生专业分专业单招计划</w:t>
      </w:r>
      <w:r>
        <w:rPr>
          <w:rFonts w:hint="eastAsia" w:ascii="仿宋" w:hAnsi="仿宋" w:eastAsia="仿宋"/>
          <w:sz w:val="28"/>
          <w:szCs w:val="28"/>
          <w:lang w:val="en-US" w:eastAsia="zh-CN"/>
        </w:rPr>
        <w:t>以省教育考试院公布的为准</w:t>
      </w:r>
      <w:r>
        <w:rPr>
          <w:rFonts w:hint="eastAsia" w:ascii="仿宋" w:hAnsi="仿宋" w:eastAsia="仿宋"/>
          <w:sz w:val="28"/>
          <w:szCs w:val="28"/>
        </w:rPr>
        <w:t>，各专业最终学费标准以2025年湖南省物价主管部门审核为准。</w:t>
      </w:r>
    </w:p>
    <w:p w14:paraId="03DE4B85">
      <w:pPr>
        <w:widowControl/>
        <w:spacing w:line="560" w:lineRule="exact"/>
        <w:ind w:firstLine="562" w:firstLineChars="200"/>
        <w:jc w:val="left"/>
        <w:rPr>
          <w:rFonts w:hint="eastAsia" w:ascii="仿宋" w:hAnsi="仿宋" w:eastAsia="仿宋" w:cs="宋体"/>
          <w:b/>
          <w:kern w:val="0"/>
          <w:sz w:val="28"/>
          <w:szCs w:val="28"/>
        </w:rPr>
      </w:pPr>
    </w:p>
    <w:tbl>
      <w:tblPr>
        <w:tblStyle w:val="6"/>
        <w:tblW w:w="7845" w:type="dxa"/>
        <w:jc w:val="center"/>
        <w:tblLayout w:type="fixed"/>
        <w:tblCellMar>
          <w:top w:w="0" w:type="dxa"/>
          <w:left w:w="108" w:type="dxa"/>
          <w:bottom w:w="0" w:type="dxa"/>
          <w:right w:w="108" w:type="dxa"/>
        </w:tblCellMar>
      </w:tblPr>
      <w:tblGrid>
        <w:gridCol w:w="1276"/>
        <w:gridCol w:w="4961"/>
        <w:gridCol w:w="1608"/>
      </w:tblGrid>
      <w:tr w14:paraId="23BA9266">
        <w:tblPrEx>
          <w:tblCellMar>
            <w:top w:w="0" w:type="dxa"/>
            <w:left w:w="108" w:type="dxa"/>
            <w:bottom w:w="0" w:type="dxa"/>
            <w:right w:w="108" w:type="dxa"/>
          </w:tblCellMar>
        </w:tblPrEx>
        <w:trPr>
          <w:trHeight w:val="425" w:hRule="exact"/>
          <w:jc w:val="center"/>
        </w:trPr>
        <w:tc>
          <w:tcPr>
            <w:tcW w:w="1276" w:type="dxa"/>
            <w:tcBorders>
              <w:top w:val="single" w:color="auto" w:sz="4" w:space="0"/>
              <w:left w:val="single" w:color="auto" w:sz="4" w:space="0"/>
              <w:bottom w:val="single" w:color="auto" w:sz="4" w:space="0"/>
              <w:right w:val="single" w:color="auto" w:sz="4" w:space="0"/>
            </w:tcBorders>
            <w:noWrap/>
            <w:vAlign w:val="center"/>
          </w:tcPr>
          <w:p w14:paraId="43C3D4ED">
            <w:pPr>
              <w:widowControl/>
              <w:textAlignment w:val="center"/>
              <w:rPr>
                <w:rFonts w:hint="eastAsia" w:ascii="仿宋" w:hAnsi="仿宋" w:eastAsia="仿宋" w:cs="宋体"/>
                <w:b/>
                <w:kern w:val="0"/>
                <w:sz w:val="24"/>
                <w:szCs w:val="24"/>
              </w:rPr>
            </w:pPr>
            <w:r>
              <w:rPr>
                <w:rFonts w:hint="eastAsia" w:ascii="仿宋" w:hAnsi="仿宋" w:eastAsia="仿宋" w:cs="宋体"/>
                <w:b/>
                <w:bCs/>
                <w:kern w:val="0"/>
                <w:sz w:val="24"/>
                <w:szCs w:val="24"/>
              </w:rPr>
              <w:t>专业组</w:t>
            </w:r>
          </w:p>
        </w:tc>
        <w:tc>
          <w:tcPr>
            <w:tcW w:w="4961" w:type="dxa"/>
            <w:tcBorders>
              <w:top w:val="single" w:color="auto" w:sz="4" w:space="0"/>
              <w:left w:val="nil"/>
              <w:bottom w:val="single" w:color="auto" w:sz="4" w:space="0"/>
              <w:right w:val="single" w:color="auto" w:sz="4" w:space="0"/>
            </w:tcBorders>
            <w:noWrap/>
            <w:vAlign w:val="center"/>
          </w:tcPr>
          <w:p w14:paraId="654FD35A">
            <w:pPr>
              <w:widowControl/>
              <w:ind w:firstLine="482" w:firstLineChars="200"/>
              <w:jc w:val="center"/>
              <w:textAlignment w:val="center"/>
              <w:rPr>
                <w:rFonts w:hint="eastAsia" w:ascii="仿宋" w:hAnsi="仿宋" w:eastAsia="仿宋" w:cs="宋体"/>
                <w:b/>
                <w:kern w:val="0"/>
                <w:sz w:val="24"/>
                <w:szCs w:val="24"/>
              </w:rPr>
            </w:pPr>
            <w:r>
              <w:rPr>
                <w:rFonts w:hint="eastAsia" w:ascii="仿宋" w:hAnsi="仿宋" w:eastAsia="仿宋" w:cs="宋体"/>
                <w:b/>
                <w:bCs/>
                <w:kern w:val="0"/>
                <w:sz w:val="24"/>
                <w:szCs w:val="24"/>
              </w:rPr>
              <w:t>专业名称</w:t>
            </w:r>
          </w:p>
        </w:tc>
        <w:tc>
          <w:tcPr>
            <w:tcW w:w="1608" w:type="dxa"/>
            <w:tcBorders>
              <w:top w:val="single" w:color="auto" w:sz="4" w:space="0"/>
              <w:left w:val="nil"/>
              <w:bottom w:val="single" w:color="auto" w:sz="4" w:space="0"/>
              <w:right w:val="single" w:color="auto" w:sz="4" w:space="0"/>
            </w:tcBorders>
            <w:noWrap/>
            <w:vAlign w:val="center"/>
          </w:tcPr>
          <w:p w14:paraId="51F90460">
            <w:pPr>
              <w:widowControl/>
              <w:textAlignment w:val="center"/>
              <w:rPr>
                <w:rFonts w:hint="eastAsia" w:ascii="仿宋" w:hAnsi="仿宋" w:eastAsia="仿宋"/>
                <w:sz w:val="24"/>
                <w:szCs w:val="24"/>
              </w:rPr>
            </w:pPr>
            <w:r>
              <w:rPr>
                <w:rFonts w:hint="eastAsia" w:ascii="仿宋" w:hAnsi="仿宋" w:eastAsia="仿宋" w:cs="宋体"/>
                <w:b/>
                <w:bCs/>
                <w:kern w:val="0"/>
                <w:sz w:val="24"/>
                <w:szCs w:val="24"/>
              </w:rPr>
              <w:t>学费（元/年）</w:t>
            </w:r>
          </w:p>
        </w:tc>
      </w:tr>
      <w:tr w14:paraId="6B63DE96">
        <w:tblPrEx>
          <w:tblCellMar>
            <w:top w:w="0" w:type="dxa"/>
            <w:left w:w="108" w:type="dxa"/>
            <w:bottom w:w="0" w:type="dxa"/>
            <w:right w:w="108" w:type="dxa"/>
          </w:tblCellMar>
        </w:tblPrEx>
        <w:trPr>
          <w:trHeight w:val="425" w:hRule="exact"/>
          <w:jc w:val="center"/>
        </w:trPr>
        <w:tc>
          <w:tcPr>
            <w:tcW w:w="1276" w:type="dxa"/>
            <w:vMerge w:val="restart"/>
            <w:tcBorders>
              <w:top w:val="nil"/>
              <w:left w:val="single" w:color="auto" w:sz="4" w:space="0"/>
              <w:right w:val="single" w:color="auto" w:sz="4" w:space="0"/>
            </w:tcBorders>
            <w:vAlign w:val="center"/>
          </w:tcPr>
          <w:p w14:paraId="0D89865C">
            <w:pPr>
              <w:widowControl/>
              <w:jc w:val="left"/>
              <w:rPr>
                <w:rFonts w:hint="default" w:ascii="仿宋" w:hAnsi="仿宋" w:eastAsia="仿宋" w:cs="宋体"/>
                <w:kern w:val="0"/>
                <w:sz w:val="24"/>
                <w:szCs w:val="24"/>
                <w:lang w:val="en-US" w:eastAsia="zh-CN"/>
              </w:rPr>
            </w:pPr>
            <w:r>
              <w:rPr>
                <w:rFonts w:hint="eastAsia" w:ascii="仿宋" w:hAnsi="仿宋" w:eastAsia="仿宋" w:cs="宋体"/>
                <w:kern w:val="0"/>
                <w:sz w:val="24"/>
                <w:szCs w:val="24"/>
                <w:lang w:val="en-US" w:eastAsia="zh-CN"/>
              </w:rPr>
              <w:t>专业组一</w:t>
            </w:r>
          </w:p>
        </w:tc>
        <w:tc>
          <w:tcPr>
            <w:tcW w:w="4961" w:type="dxa"/>
            <w:tcBorders>
              <w:top w:val="nil"/>
              <w:left w:val="nil"/>
              <w:bottom w:val="single" w:color="auto" w:sz="4" w:space="0"/>
              <w:right w:val="single" w:color="auto" w:sz="4" w:space="0"/>
            </w:tcBorders>
            <w:noWrap/>
            <w:vAlign w:val="center"/>
          </w:tcPr>
          <w:p w14:paraId="6F000178">
            <w:pPr>
              <w:widowControl/>
              <w:ind w:firstLine="480" w:firstLineChars="200"/>
              <w:jc w:val="center"/>
              <w:rPr>
                <w:rFonts w:hint="eastAsia" w:ascii="仿宋" w:hAnsi="仿宋" w:eastAsia="仿宋"/>
                <w:kern w:val="0"/>
                <w:sz w:val="24"/>
                <w:szCs w:val="24"/>
              </w:rPr>
            </w:pPr>
            <w:r>
              <w:rPr>
                <w:rFonts w:hint="eastAsia" w:ascii="仿宋" w:hAnsi="仿宋" w:eastAsia="仿宋"/>
                <w:sz w:val="24"/>
                <w:szCs w:val="24"/>
              </w:rPr>
              <w:t>婴幼儿托育服务与管理</w:t>
            </w:r>
          </w:p>
        </w:tc>
        <w:tc>
          <w:tcPr>
            <w:tcW w:w="1608" w:type="dxa"/>
            <w:tcBorders>
              <w:top w:val="nil"/>
              <w:left w:val="nil"/>
              <w:bottom w:val="single" w:color="auto" w:sz="4" w:space="0"/>
              <w:right w:val="single" w:color="auto" w:sz="4" w:space="0"/>
            </w:tcBorders>
            <w:noWrap/>
            <w:vAlign w:val="center"/>
          </w:tcPr>
          <w:p w14:paraId="4A1BE935">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33C70418">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4EA10C13">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47A13BDB">
            <w:pPr>
              <w:ind w:firstLine="480" w:firstLineChars="200"/>
              <w:jc w:val="center"/>
              <w:rPr>
                <w:rFonts w:hint="eastAsia" w:ascii="仿宋" w:hAnsi="仿宋" w:eastAsia="仿宋"/>
                <w:sz w:val="24"/>
                <w:szCs w:val="24"/>
              </w:rPr>
            </w:pPr>
            <w:r>
              <w:rPr>
                <w:rFonts w:hint="eastAsia" w:ascii="仿宋" w:hAnsi="仿宋" w:eastAsia="仿宋"/>
                <w:sz w:val="24"/>
                <w:szCs w:val="24"/>
              </w:rPr>
              <w:t>党务工作</w:t>
            </w:r>
          </w:p>
        </w:tc>
        <w:tc>
          <w:tcPr>
            <w:tcW w:w="1608" w:type="dxa"/>
            <w:tcBorders>
              <w:top w:val="nil"/>
              <w:left w:val="nil"/>
              <w:bottom w:val="single" w:color="auto" w:sz="4" w:space="0"/>
              <w:right w:val="single" w:color="auto" w:sz="4" w:space="0"/>
            </w:tcBorders>
            <w:noWrap/>
            <w:vAlign w:val="center"/>
          </w:tcPr>
          <w:p w14:paraId="24130AF9">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210E50C9">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333A87E0">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3E12CA5E">
            <w:pPr>
              <w:ind w:firstLine="480" w:firstLineChars="200"/>
              <w:jc w:val="center"/>
              <w:rPr>
                <w:rFonts w:hint="eastAsia" w:ascii="仿宋" w:hAnsi="仿宋" w:eastAsia="仿宋"/>
                <w:sz w:val="24"/>
                <w:szCs w:val="24"/>
              </w:rPr>
            </w:pPr>
            <w:r>
              <w:rPr>
                <w:rFonts w:hint="eastAsia" w:ascii="仿宋" w:hAnsi="仿宋" w:eastAsia="仿宋"/>
                <w:sz w:val="24"/>
                <w:szCs w:val="24"/>
              </w:rPr>
              <w:t>研学旅行管理与服务</w:t>
            </w:r>
          </w:p>
        </w:tc>
        <w:tc>
          <w:tcPr>
            <w:tcW w:w="1608" w:type="dxa"/>
            <w:tcBorders>
              <w:top w:val="nil"/>
              <w:left w:val="nil"/>
              <w:bottom w:val="single" w:color="auto" w:sz="4" w:space="0"/>
              <w:right w:val="single" w:color="auto" w:sz="4" w:space="0"/>
            </w:tcBorders>
            <w:noWrap/>
            <w:vAlign w:val="center"/>
          </w:tcPr>
          <w:p w14:paraId="0FE7274C">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4600</w:t>
            </w:r>
          </w:p>
        </w:tc>
      </w:tr>
      <w:tr w14:paraId="6A0BCF86">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54E423FC">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6CE8C46E">
            <w:pPr>
              <w:ind w:firstLine="480" w:firstLineChars="200"/>
              <w:jc w:val="center"/>
              <w:rPr>
                <w:rFonts w:hint="eastAsia" w:ascii="仿宋" w:hAnsi="仿宋" w:eastAsia="仿宋"/>
                <w:sz w:val="24"/>
                <w:szCs w:val="24"/>
              </w:rPr>
            </w:pPr>
            <w:r>
              <w:rPr>
                <w:rFonts w:hint="eastAsia" w:ascii="仿宋" w:hAnsi="仿宋" w:eastAsia="仿宋"/>
                <w:sz w:val="24"/>
                <w:szCs w:val="24"/>
              </w:rPr>
              <w:t>智慧健康养老服务与管理</w:t>
            </w:r>
          </w:p>
        </w:tc>
        <w:tc>
          <w:tcPr>
            <w:tcW w:w="1608" w:type="dxa"/>
            <w:tcBorders>
              <w:top w:val="nil"/>
              <w:left w:val="nil"/>
              <w:bottom w:val="single" w:color="auto" w:sz="4" w:space="0"/>
              <w:right w:val="single" w:color="auto" w:sz="4" w:space="0"/>
            </w:tcBorders>
            <w:noWrap/>
            <w:vAlign w:val="center"/>
          </w:tcPr>
          <w:p w14:paraId="196BF7DD">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2C0F0072">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77D31887">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2F1A403F">
            <w:pPr>
              <w:ind w:firstLine="480" w:firstLineChars="200"/>
              <w:jc w:val="center"/>
              <w:rPr>
                <w:rFonts w:hint="eastAsia" w:ascii="仿宋" w:hAnsi="仿宋" w:eastAsia="仿宋"/>
                <w:sz w:val="24"/>
                <w:szCs w:val="24"/>
              </w:rPr>
            </w:pPr>
            <w:r>
              <w:rPr>
                <w:rFonts w:hint="eastAsia" w:ascii="仿宋" w:hAnsi="仿宋" w:eastAsia="仿宋"/>
                <w:sz w:val="24"/>
                <w:szCs w:val="24"/>
              </w:rPr>
              <w:t>社区康复</w:t>
            </w:r>
          </w:p>
        </w:tc>
        <w:tc>
          <w:tcPr>
            <w:tcW w:w="1608" w:type="dxa"/>
            <w:tcBorders>
              <w:top w:val="nil"/>
              <w:left w:val="nil"/>
              <w:bottom w:val="single" w:color="auto" w:sz="4" w:space="0"/>
              <w:right w:val="single" w:color="auto" w:sz="4" w:space="0"/>
            </w:tcBorders>
            <w:noWrap/>
            <w:vAlign w:val="center"/>
          </w:tcPr>
          <w:p w14:paraId="5BE4420B">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786CDF3A">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6D5C8479">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27AD5C01">
            <w:pPr>
              <w:ind w:firstLine="480" w:firstLineChars="200"/>
              <w:jc w:val="center"/>
              <w:rPr>
                <w:rFonts w:hint="eastAsia" w:ascii="仿宋" w:hAnsi="仿宋" w:eastAsia="仿宋"/>
                <w:sz w:val="24"/>
                <w:szCs w:val="24"/>
              </w:rPr>
            </w:pPr>
            <w:r>
              <w:rPr>
                <w:rFonts w:hint="eastAsia" w:ascii="仿宋" w:hAnsi="仿宋" w:eastAsia="仿宋"/>
                <w:sz w:val="24"/>
                <w:szCs w:val="24"/>
              </w:rPr>
              <w:t>数字媒体技术（校企合作）</w:t>
            </w:r>
          </w:p>
        </w:tc>
        <w:tc>
          <w:tcPr>
            <w:tcW w:w="1608" w:type="dxa"/>
            <w:tcBorders>
              <w:top w:val="nil"/>
              <w:left w:val="nil"/>
              <w:bottom w:val="single" w:color="auto" w:sz="4" w:space="0"/>
              <w:right w:val="single" w:color="auto" w:sz="4" w:space="0"/>
            </w:tcBorders>
            <w:noWrap/>
            <w:vAlign w:val="center"/>
          </w:tcPr>
          <w:p w14:paraId="3041A332">
            <w:pPr>
              <w:widowControl/>
              <w:ind w:firstLine="480" w:firstLineChars="200"/>
              <w:textAlignment w:val="center"/>
              <w:rPr>
                <w:rFonts w:hint="default" w:ascii="仿宋" w:hAnsi="仿宋" w:eastAsia="仿宋"/>
                <w:sz w:val="24"/>
                <w:szCs w:val="24"/>
                <w:lang w:val="en-US" w:eastAsia="zh-CN"/>
              </w:rPr>
            </w:pPr>
            <w:r>
              <w:rPr>
                <w:rFonts w:hint="eastAsia" w:ascii="仿宋" w:hAnsi="仿宋" w:eastAsia="仿宋"/>
                <w:sz w:val="24"/>
                <w:szCs w:val="24"/>
                <w:lang w:val="en-US" w:eastAsia="zh-CN"/>
              </w:rPr>
              <w:t>5060</w:t>
            </w:r>
          </w:p>
        </w:tc>
      </w:tr>
      <w:tr w14:paraId="0ACC7C55">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7F2F294D">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43B83E87">
            <w:pPr>
              <w:ind w:firstLine="480" w:firstLineChars="200"/>
              <w:jc w:val="center"/>
              <w:rPr>
                <w:rFonts w:hint="eastAsia" w:ascii="仿宋" w:hAnsi="仿宋" w:eastAsia="仿宋"/>
                <w:sz w:val="24"/>
                <w:szCs w:val="24"/>
              </w:rPr>
            </w:pPr>
            <w:r>
              <w:rPr>
                <w:rFonts w:hint="eastAsia" w:ascii="仿宋" w:hAnsi="仿宋" w:eastAsia="仿宋"/>
                <w:sz w:val="24"/>
                <w:szCs w:val="24"/>
              </w:rPr>
              <w:t>现代物流管理</w:t>
            </w:r>
          </w:p>
        </w:tc>
        <w:tc>
          <w:tcPr>
            <w:tcW w:w="1608" w:type="dxa"/>
            <w:tcBorders>
              <w:top w:val="nil"/>
              <w:left w:val="nil"/>
              <w:bottom w:val="single" w:color="auto" w:sz="4" w:space="0"/>
              <w:right w:val="single" w:color="auto" w:sz="4" w:space="0"/>
            </w:tcBorders>
            <w:noWrap/>
            <w:vAlign w:val="center"/>
          </w:tcPr>
          <w:p w14:paraId="4C8E6CEC">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56E5C4E3">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3D4ABD94">
            <w:pPr>
              <w:widowControl/>
              <w:ind w:firstLine="480" w:firstLineChars="200"/>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61891D95">
            <w:pPr>
              <w:ind w:firstLine="480" w:firstLineChars="200"/>
              <w:jc w:val="center"/>
              <w:rPr>
                <w:rFonts w:hint="eastAsia" w:ascii="仿宋" w:hAnsi="仿宋" w:eastAsia="仿宋"/>
                <w:sz w:val="24"/>
                <w:szCs w:val="24"/>
              </w:rPr>
            </w:pPr>
            <w:r>
              <w:rPr>
                <w:rFonts w:hint="eastAsia" w:ascii="仿宋" w:hAnsi="仿宋" w:eastAsia="仿宋"/>
                <w:sz w:val="24"/>
                <w:szCs w:val="24"/>
              </w:rPr>
              <w:t>网络营销与直播电商</w:t>
            </w:r>
          </w:p>
        </w:tc>
        <w:tc>
          <w:tcPr>
            <w:tcW w:w="1608" w:type="dxa"/>
            <w:tcBorders>
              <w:top w:val="nil"/>
              <w:left w:val="nil"/>
              <w:bottom w:val="single" w:color="auto" w:sz="4" w:space="0"/>
              <w:right w:val="single" w:color="auto" w:sz="4" w:space="0"/>
            </w:tcBorders>
            <w:noWrap/>
            <w:vAlign w:val="center"/>
          </w:tcPr>
          <w:p w14:paraId="2C57BEA6">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5D53CF1B">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69DE37D1">
            <w:pPr>
              <w:widowControl/>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tcPr>
          <w:p w14:paraId="1D8C6858">
            <w:pPr>
              <w:ind w:firstLine="480" w:firstLineChars="200"/>
              <w:jc w:val="center"/>
              <w:rPr>
                <w:rFonts w:hint="eastAsia" w:ascii="仿宋" w:hAnsi="仿宋" w:eastAsia="仿宋"/>
                <w:sz w:val="24"/>
                <w:szCs w:val="24"/>
              </w:rPr>
            </w:pPr>
            <w:r>
              <w:rPr>
                <w:rFonts w:hint="eastAsia" w:ascii="仿宋" w:hAnsi="仿宋" w:eastAsia="仿宋"/>
                <w:sz w:val="24"/>
                <w:szCs w:val="24"/>
              </w:rPr>
              <w:t>现代家政服务与管理</w:t>
            </w:r>
          </w:p>
        </w:tc>
        <w:tc>
          <w:tcPr>
            <w:tcW w:w="1608" w:type="dxa"/>
            <w:tcBorders>
              <w:top w:val="nil"/>
              <w:left w:val="nil"/>
              <w:bottom w:val="single" w:color="auto" w:sz="4" w:space="0"/>
              <w:right w:val="single" w:color="auto" w:sz="4" w:space="0"/>
            </w:tcBorders>
            <w:noWrap/>
            <w:vAlign w:val="center"/>
          </w:tcPr>
          <w:p w14:paraId="0297BEED">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70217ADE">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0E637C28">
            <w:pPr>
              <w:widowControl/>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tcPr>
          <w:p w14:paraId="3FBD8633">
            <w:pPr>
              <w:ind w:firstLine="480" w:firstLineChars="200"/>
              <w:jc w:val="center"/>
              <w:rPr>
                <w:rFonts w:hint="eastAsia" w:ascii="仿宋" w:hAnsi="仿宋" w:eastAsia="仿宋"/>
                <w:sz w:val="24"/>
                <w:szCs w:val="24"/>
              </w:rPr>
            </w:pPr>
            <w:r>
              <w:rPr>
                <w:rFonts w:hint="eastAsia" w:ascii="仿宋" w:hAnsi="仿宋" w:eastAsia="仿宋"/>
                <w:sz w:val="24"/>
                <w:szCs w:val="24"/>
              </w:rPr>
              <w:t>跨境电子商务</w:t>
            </w:r>
          </w:p>
        </w:tc>
        <w:tc>
          <w:tcPr>
            <w:tcW w:w="1608" w:type="dxa"/>
            <w:tcBorders>
              <w:top w:val="nil"/>
              <w:left w:val="nil"/>
              <w:bottom w:val="single" w:color="auto" w:sz="4" w:space="0"/>
              <w:right w:val="single" w:color="auto" w:sz="4" w:space="0"/>
            </w:tcBorders>
            <w:noWrap/>
            <w:vAlign w:val="center"/>
          </w:tcPr>
          <w:p w14:paraId="5CE9A58B">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3500</w:t>
            </w:r>
          </w:p>
        </w:tc>
      </w:tr>
      <w:tr w14:paraId="6AB530E6">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38F9E496">
            <w:pPr>
              <w:widowControl/>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tcPr>
          <w:p w14:paraId="24E7073A">
            <w:pPr>
              <w:ind w:firstLine="480" w:firstLineChars="200"/>
              <w:jc w:val="center"/>
              <w:rPr>
                <w:rFonts w:hint="eastAsia" w:ascii="仿宋" w:hAnsi="仿宋" w:eastAsia="仿宋"/>
                <w:sz w:val="24"/>
                <w:szCs w:val="24"/>
              </w:rPr>
            </w:pPr>
            <w:r>
              <w:rPr>
                <w:rFonts w:hint="eastAsia" w:ascii="仿宋" w:hAnsi="仿宋" w:eastAsia="仿宋"/>
                <w:sz w:val="24"/>
                <w:szCs w:val="24"/>
              </w:rPr>
              <w:t>茶艺与茶文化</w:t>
            </w:r>
          </w:p>
        </w:tc>
        <w:tc>
          <w:tcPr>
            <w:tcW w:w="1608" w:type="dxa"/>
            <w:tcBorders>
              <w:top w:val="nil"/>
              <w:left w:val="nil"/>
              <w:bottom w:val="single" w:color="auto" w:sz="4" w:space="0"/>
              <w:right w:val="single" w:color="auto" w:sz="4" w:space="0"/>
            </w:tcBorders>
            <w:noWrap/>
            <w:vAlign w:val="center"/>
          </w:tcPr>
          <w:p w14:paraId="1B61E243">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4600</w:t>
            </w:r>
          </w:p>
        </w:tc>
      </w:tr>
      <w:tr w14:paraId="54564A83">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3C5B2068">
            <w:pPr>
              <w:widowControl/>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tcPr>
          <w:p w14:paraId="210B815F">
            <w:pPr>
              <w:ind w:firstLine="480" w:firstLineChars="200"/>
              <w:jc w:val="center"/>
              <w:rPr>
                <w:rFonts w:hint="eastAsia" w:ascii="仿宋" w:hAnsi="仿宋" w:eastAsia="仿宋"/>
                <w:sz w:val="24"/>
                <w:szCs w:val="24"/>
              </w:rPr>
            </w:pPr>
            <w:r>
              <w:rPr>
                <w:rFonts w:hint="eastAsia" w:ascii="仿宋" w:hAnsi="仿宋" w:eastAsia="仿宋"/>
                <w:sz w:val="24"/>
                <w:szCs w:val="24"/>
              </w:rPr>
              <w:t>影视动画（校企合作）</w:t>
            </w:r>
          </w:p>
        </w:tc>
        <w:tc>
          <w:tcPr>
            <w:tcW w:w="1608" w:type="dxa"/>
            <w:tcBorders>
              <w:top w:val="nil"/>
              <w:left w:val="nil"/>
              <w:bottom w:val="single" w:color="auto" w:sz="4" w:space="0"/>
              <w:right w:val="single" w:color="auto" w:sz="4" w:space="0"/>
            </w:tcBorders>
            <w:noWrap/>
            <w:vAlign w:val="center"/>
          </w:tcPr>
          <w:p w14:paraId="2BDEFE46">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9</w:t>
            </w:r>
            <w:r>
              <w:rPr>
                <w:rFonts w:hint="eastAsia" w:ascii="仿宋" w:hAnsi="仿宋" w:eastAsia="仿宋"/>
                <w:sz w:val="24"/>
                <w:szCs w:val="24"/>
                <w:lang w:val="en-US" w:eastAsia="zh-CN"/>
              </w:rPr>
              <w:t>9</w:t>
            </w:r>
            <w:r>
              <w:rPr>
                <w:rFonts w:hint="eastAsia" w:ascii="仿宋" w:hAnsi="仿宋" w:eastAsia="仿宋"/>
                <w:sz w:val="24"/>
                <w:szCs w:val="24"/>
              </w:rPr>
              <w:t>00</w:t>
            </w:r>
          </w:p>
        </w:tc>
      </w:tr>
      <w:tr w14:paraId="54326816">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bottom w:val="single" w:color="auto" w:sz="4" w:space="0"/>
              <w:right w:val="single" w:color="auto" w:sz="4" w:space="0"/>
            </w:tcBorders>
            <w:vAlign w:val="center"/>
          </w:tcPr>
          <w:p w14:paraId="7B45DD4F">
            <w:pPr>
              <w:widowControl/>
              <w:jc w:val="left"/>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tcPr>
          <w:p w14:paraId="254E875D">
            <w:pPr>
              <w:ind w:firstLine="480" w:firstLineChars="200"/>
              <w:jc w:val="center"/>
              <w:rPr>
                <w:rFonts w:hint="eastAsia" w:ascii="仿宋" w:hAnsi="仿宋" w:eastAsia="仿宋"/>
                <w:sz w:val="24"/>
                <w:szCs w:val="24"/>
              </w:rPr>
            </w:pPr>
            <w:r>
              <w:rPr>
                <w:rFonts w:hint="eastAsia" w:ascii="仿宋" w:hAnsi="仿宋" w:eastAsia="仿宋"/>
                <w:sz w:val="24"/>
                <w:szCs w:val="24"/>
              </w:rPr>
              <w:t>人工智能数据工程技术（校企合作）</w:t>
            </w:r>
          </w:p>
        </w:tc>
        <w:tc>
          <w:tcPr>
            <w:tcW w:w="1608" w:type="dxa"/>
            <w:tcBorders>
              <w:top w:val="nil"/>
              <w:left w:val="nil"/>
              <w:bottom w:val="single" w:color="auto" w:sz="4" w:space="0"/>
              <w:right w:val="single" w:color="auto" w:sz="4" w:space="0"/>
            </w:tcBorders>
            <w:noWrap/>
            <w:vAlign w:val="center"/>
          </w:tcPr>
          <w:p w14:paraId="5F770ABC">
            <w:pPr>
              <w:widowControl/>
              <w:ind w:firstLine="480" w:firstLineChars="200"/>
              <w:textAlignment w:val="center"/>
              <w:rPr>
                <w:rFonts w:hint="default" w:ascii="仿宋" w:hAnsi="仿宋" w:eastAsia="仿宋"/>
                <w:sz w:val="24"/>
                <w:szCs w:val="24"/>
                <w:lang w:val="en-US" w:eastAsia="zh-CN"/>
              </w:rPr>
            </w:pPr>
            <w:r>
              <w:rPr>
                <w:rFonts w:hint="eastAsia" w:ascii="仿宋" w:hAnsi="仿宋" w:eastAsia="仿宋"/>
                <w:sz w:val="24"/>
                <w:szCs w:val="24"/>
                <w:lang w:val="en-US" w:eastAsia="zh-CN"/>
              </w:rPr>
              <w:t>5060</w:t>
            </w:r>
          </w:p>
        </w:tc>
      </w:tr>
      <w:tr w14:paraId="0D1AE8AD">
        <w:tblPrEx>
          <w:tblCellMar>
            <w:top w:w="0" w:type="dxa"/>
            <w:left w:w="108" w:type="dxa"/>
            <w:bottom w:w="0" w:type="dxa"/>
            <w:right w:w="108" w:type="dxa"/>
          </w:tblCellMar>
        </w:tblPrEx>
        <w:trPr>
          <w:trHeight w:val="425" w:hRule="exact"/>
          <w:jc w:val="center"/>
        </w:trPr>
        <w:tc>
          <w:tcPr>
            <w:tcW w:w="1276" w:type="dxa"/>
            <w:tcBorders>
              <w:top w:val="single" w:color="auto" w:sz="4" w:space="0"/>
              <w:left w:val="single" w:color="auto" w:sz="4" w:space="0"/>
              <w:bottom w:val="single" w:color="auto" w:sz="4" w:space="0"/>
              <w:right w:val="single" w:color="auto" w:sz="4" w:space="0"/>
            </w:tcBorders>
            <w:vAlign w:val="center"/>
          </w:tcPr>
          <w:p w14:paraId="354B96F5">
            <w:pPr>
              <w:rPr>
                <w:rFonts w:hint="default" w:ascii="仿宋" w:hAnsi="仿宋" w:eastAsia="仿宋" w:cs="宋体"/>
                <w:kern w:val="0"/>
                <w:sz w:val="24"/>
                <w:szCs w:val="24"/>
                <w:lang w:val="en-US" w:eastAsia="zh-CN"/>
              </w:rPr>
            </w:pPr>
            <w:r>
              <w:rPr>
                <w:rFonts w:hint="eastAsia" w:ascii="仿宋" w:hAnsi="仿宋" w:eastAsia="仿宋" w:cs="宋体"/>
                <w:kern w:val="0"/>
                <w:sz w:val="24"/>
                <w:szCs w:val="24"/>
                <w:lang w:val="en-US" w:eastAsia="zh-CN"/>
              </w:rPr>
              <w:t>专业组二</w:t>
            </w:r>
          </w:p>
        </w:tc>
        <w:tc>
          <w:tcPr>
            <w:tcW w:w="4961" w:type="dxa"/>
            <w:tcBorders>
              <w:top w:val="single" w:color="auto" w:sz="4" w:space="0"/>
              <w:left w:val="nil"/>
              <w:bottom w:val="single" w:color="auto" w:sz="4" w:space="0"/>
              <w:right w:val="single" w:color="auto" w:sz="4" w:space="0"/>
            </w:tcBorders>
            <w:noWrap/>
            <w:vAlign w:val="center"/>
          </w:tcPr>
          <w:p w14:paraId="14FCE3F1">
            <w:pPr>
              <w:ind w:firstLine="480" w:firstLineChars="200"/>
              <w:jc w:val="center"/>
              <w:rPr>
                <w:rFonts w:hint="eastAsia" w:ascii="仿宋" w:hAnsi="仿宋" w:eastAsia="仿宋"/>
                <w:sz w:val="24"/>
                <w:szCs w:val="24"/>
              </w:rPr>
            </w:pPr>
            <w:r>
              <w:rPr>
                <w:rFonts w:hint="eastAsia" w:ascii="仿宋" w:hAnsi="仿宋" w:eastAsia="仿宋"/>
                <w:sz w:val="24"/>
                <w:szCs w:val="24"/>
              </w:rPr>
              <w:t>音乐表演</w:t>
            </w:r>
          </w:p>
        </w:tc>
        <w:tc>
          <w:tcPr>
            <w:tcW w:w="1608" w:type="dxa"/>
            <w:tcBorders>
              <w:top w:val="nil"/>
              <w:left w:val="nil"/>
              <w:bottom w:val="single" w:color="auto" w:sz="4" w:space="0"/>
              <w:right w:val="single" w:color="auto" w:sz="4" w:space="0"/>
            </w:tcBorders>
            <w:noWrap/>
            <w:vAlign w:val="center"/>
          </w:tcPr>
          <w:p w14:paraId="04C9C62C">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7500</w:t>
            </w:r>
          </w:p>
        </w:tc>
      </w:tr>
      <w:tr w14:paraId="28F81BDA">
        <w:tblPrEx>
          <w:tblCellMar>
            <w:top w:w="0" w:type="dxa"/>
            <w:left w:w="108" w:type="dxa"/>
            <w:bottom w:w="0" w:type="dxa"/>
            <w:right w:w="108" w:type="dxa"/>
          </w:tblCellMar>
        </w:tblPrEx>
        <w:trPr>
          <w:trHeight w:val="425" w:hRule="exact"/>
          <w:jc w:val="center"/>
        </w:trPr>
        <w:tc>
          <w:tcPr>
            <w:tcW w:w="1276" w:type="dxa"/>
            <w:vMerge w:val="restart"/>
            <w:tcBorders>
              <w:top w:val="single" w:color="auto" w:sz="4" w:space="0"/>
              <w:left w:val="single" w:color="auto" w:sz="4" w:space="0"/>
              <w:right w:val="single" w:color="auto" w:sz="4" w:space="0"/>
            </w:tcBorders>
            <w:vAlign w:val="center"/>
          </w:tcPr>
          <w:p w14:paraId="362D0A14">
            <w:pPr>
              <w:rPr>
                <w:rFonts w:hint="default" w:ascii="仿宋" w:hAnsi="仿宋" w:eastAsia="仿宋" w:cs="宋体"/>
                <w:kern w:val="0"/>
                <w:sz w:val="24"/>
                <w:szCs w:val="24"/>
                <w:lang w:val="en-US" w:eastAsia="zh-CN"/>
              </w:rPr>
            </w:pPr>
            <w:r>
              <w:rPr>
                <w:rFonts w:hint="eastAsia" w:ascii="仿宋" w:hAnsi="仿宋" w:eastAsia="仿宋" w:cs="宋体"/>
                <w:kern w:val="0"/>
                <w:sz w:val="24"/>
                <w:szCs w:val="24"/>
                <w:lang w:val="en-US" w:eastAsia="zh-CN"/>
              </w:rPr>
              <w:t>专业组三</w:t>
            </w:r>
          </w:p>
        </w:tc>
        <w:tc>
          <w:tcPr>
            <w:tcW w:w="4961" w:type="dxa"/>
            <w:tcBorders>
              <w:top w:val="single" w:color="auto" w:sz="4" w:space="0"/>
              <w:left w:val="nil"/>
              <w:bottom w:val="single" w:color="auto" w:sz="4" w:space="0"/>
              <w:right w:val="single" w:color="auto" w:sz="4" w:space="0"/>
            </w:tcBorders>
            <w:noWrap/>
            <w:vAlign w:val="center"/>
          </w:tcPr>
          <w:p w14:paraId="497F3F6B">
            <w:pPr>
              <w:widowControl/>
              <w:ind w:firstLine="480" w:firstLineChars="200"/>
              <w:jc w:val="center"/>
              <w:rPr>
                <w:rFonts w:hint="eastAsia" w:ascii="仿宋" w:hAnsi="仿宋" w:eastAsia="仿宋"/>
                <w:sz w:val="24"/>
                <w:szCs w:val="24"/>
              </w:rPr>
            </w:pPr>
            <w:r>
              <w:rPr>
                <w:rFonts w:hint="eastAsia" w:ascii="仿宋" w:hAnsi="仿宋" w:eastAsia="仿宋"/>
                <w:sz w:val="24"/>
                <w:szCs w:val="24"/>
              </w:rPr>
              <w:t>体育艺术表演（校企合作）</w:t>
            </w:r>
          </w:p>
        </w:tc>
        <w:tc>
          <w:tcPr>
            <w:tcW w:w="1608" w:type="dxa"/>
            <w:tcBorders>
              <w:top w:val="nil"/>
              <w:left w:val="nil"/>
              <w:bottom w:val="single" w:color="auto" w:sz="4" w:space="0"/>
              <w:right w:val="single" w:color="auto" w:sz="4" w:space="0"/>
            </w:tcBorders>
            <w:noWrap/>
            <w:vAlign w:val="center"/>
          </w:tcPr>
          <w:p w14:paraId="3F7D7AC3">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lang w:val="en-US" w:eastAsia="zh-CN"/>
              </w:rPr>
              <w:t>825</w:t>
            </w:r>
            <w:r>
              <w:rPr>
                <w:rFonts w:hint="eastAsia" w:ascii="仿宋" w:hAnsi="仿宋" w:eastAsia="仿宋"/>
                <w:sz w:val="24"/>
                <w:szCs w:val="24"/>
              </w:rPr>
              <w:t>0</w:t>
            </w:r>
          </w:p>
        </w:tc>
      </w:tr>
      <w:tr w14:paraId="0CB79875">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right w:val="single" w:color="auto" w:sz="4" w:space="0"/>
            </w:tcBorders>
            <w:vAlign w:val="center"/>
          </w:tcPr>
          <w:p w14:paraId="41F47965">
            <w:pPr>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18F6CC0F">
            <w:pPr>
              <w:widowControl/>
              <w:ind w:firstLine="480" w:firstLineChars="200"/>
              <w:jc w:val="center"/>
              <w:rPr>
                <w:rFonts w:hint="eastAsia" w:ascii="仿宋" w:hAnsi="仿宋" w:eastAsia="仿宋"/>
                <w:sz w:val="24"/>
                <w:szCs w:val="24"/>
              </w:rPr>
            </w:pPr>
            <w:r>
              <w:rPr>
                <w:rFonts w:hint="eastAsia" w:ascii="仿宋" w:hAnsi="仿宋" w:eastAsia="仿宋"/>
                <w:sz w:val="24"/>
                <w:szCs w:val="24"/>
              </w:rPr>
              <w:t>运动训练</w:t>
            </w:r>
          </w:p>
        </w:tc>
        <w:tc>
          <w:tcPr>
            <w:tcW w:w="1608" w:type="dxa"/>
            <w:tcBorders>
              <w:top w:val="nil"/>
              <w:left w:val="nil"/>
              <w:bottom w:val="single" w:color="auto" w:sz="4" w:space="0"/>
              <w:right w:val="single" w:color="auto" w:sz="4" w:space="0"/>
            </w:tcBorders>
            <w:noWrap/>
            <w:vAlign w:val="center"/>
          </w:tcPr>
          <w:p w14:paraId="0D347DA8">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4600</w:t>
            </w:r>
          </w:p>
        </w:tc>
      </w:tr>
      <w:tr w14:paraId="3F45C49C">
        <w:tblPrEx>
          <w:tblCellMar>
            <w:top w:w="0" w:type="dxa"/>
            <w:left w:w="108" w:type="dxa"/>
            <w:bottom w:w="0" w:type="dxa"/>
            <w:right w:w="108" w:type="dxa"/>
          </w:tblCellMar>
        </w:tblPrEx>
        <w:trPr>
          <w:trHeight w:val="425" w:hRule="exact"/>
          <w:jc w:val="center"/>
        </w:trPr>
        <w:tc>
          <w:tcPr>
            <w:tcW w:w="1276" w:type="dxa"/>
            <w:vMerge w:val="continue"/>
            <w:tcBorders>
              <w:left w:val="single" w:color="auto" w:sz="4" w:space="0"/>
              <w:bottom w:val="single" w:color="auto" w:sz="4" w:space="0"/>
              <w:right w:val="single" w:color="auto" w:sz="4" w:space="0"/>
            </w:tcBorders>
            <w:vAlign w:val="center"/>
          </w:tcPr>
          <w:p w14:paraId="3E36249D">
            <w:pPr>
              <w:rPr>
                <w:rFonts w:hint="eastAsia" w:ascii="仿宋" w:hAnsi="仿宋" w:eastAsia="仿宋" w:cs="宋体"/>
                <w:kern w:val="0"/>
                <w:sz w:val="24"/>
                <w:szCs w:val="24"/>
              </w:rPr>
            </w:pPr>
          </w:p>
        </w:tc>
        <w:tc>
          <w:tcPr>
            <w:tcW w:w="4961" w:type="dxa"/>
            <w:tcBorders>
              <w:top w:val="nil"/>
              <w:left w:val="nil"/>
              <w:bottom w:val="single" w:color="auto" w:sz="4" w:space="0"/>
              <w:right w:val="single" w:color="auto" w:sz="4" w:space="0"/>
            </w:tcBorders>
            <w:noWrap/>
            <w:vAlign w:val="center"/>
          </w:tcPr>
          <w:p w14:paraId="785C817D">
            <w:pPr>
              <w:widowControl/>
              <w:ind w:firstLine="480" w:firstLineChars="200"/>
              <w:jc w:val="center"/>
              <w:rPr>
                <w:rFonts w:hint="eastAsia" w:ascii="仿宋" w:hAnsi="仿宋" w:eastAsia="仿宋"/>
                <w:sz w:val="24"/>
                <w:szCs w:val="24"/>
              </w:rPr>
            </w:pPr>
            <w:r>
              <w:rPr>
                <w:rFonts w:hint="eastAsia" w:ascii="仿宋" w:hAnsi="仿宋" w:eastAsia="仿宋"/>
                <w:sz w:val="24"/>
                <w:szCs w:val="24"/>
              </w:rPr>
              <w:t>健身指导与管理</w:t>
            </w:r>
          </w:p>
        </w:tc>
        <w:tc>
          <w:tcPr>
            <w:tcW w:w="1608" w:type="dxa"/>
            <w:tcBorders>
              <w:top w:val="nil"/>
              <w:left w:val="nil"/>
              <w:bottom w:val="single" w:color="auto" w:sz="4" w:space="0"/>
              <w:right w:val="single" w:color="auto" w:sz="4" w:space="0"/>
            </w:tcBorders>
            <w:noWrap/>
            <w:vAlign w:val="center"/>
          </w:tcPr>
          <w:p w14:paraId="313D5A96">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4600</w:t>
            </w:r>
          </w:p>
        </w:tc>
      </w:tr>
      <w:tr w14:paraId="695D3EB0">
        <w:tblPrEx>
          <w:tblCellMar>
            <w:top w:w="0" w:type="dxa"/>
            <w:left w:w="108" w:type="dxa"/>
            <w:bottom w:w="0" w:type="dxa"/>
            <w:right w:w="108" w:type="dxa"/>
          </w:tblCellMar>
        </w:tblPrEx>
        <w:trPr>
          <w:trHeight w:val="425" w:hRule="exact"/>
          <w:jc w:val="center"/>
        </w:trPr>
        <w:tc>
          <w:tcPr>
            <w:tcW w:w="1276" w:type="dxa"/>
            <w:tcBorders>
              <w:top w:val="single" w:color="auto" w:sz="4" w:space="0"/>
              <w:left w:val="single" w:color="auto" w:sz="4" w:space="0"/>
              <w:bottom w:val="single" w:color="auto" w:sz="4" w:space="0"/>
              <w:right w:val="single" w:color="auto" w:sz="4" w:space="0"/>
            </w:tcBorders>
            <w:vAlign w:val="center"/>
          </w:tcPr>
          <w:p w14:paraId="7C09F6B9">
            <w:pPr>
              <w:rPr>
                <w:rFonts w:hint="eastAsia" w:ascii="仿宋" w:hAnsi="仿宋" w:eastAsia="仿宋" w:cs="宋体"/>
                <w:kern w:val="0"/>
                <w:sz w:val="24"/>
                <w:szCs w:val="24"/>
              </w:rPr>
            </w:pPr>
            <w:r>
              <w:rPr>
                <w:rFonts w:hint="eastAsia" w:ascii="仿宋" w:hAnsi="仿宋" w:eastAsia="仿宋" w:cs="宋体"/>
                <w:kern w:val="0"/>
                <w:sz w:val="24"/>
                <w:szCs w:val="24"/>
              </w:rPr>
              <w:t>专业组四</w:t>
            </w:r>
          </w:p>
        </w:tc>
        <w:tc>
          <w:tcPr>
            <w:tcW w:w="4961" w:type="dxa"/>
            <w:tcBorders>
              <w:top w:val="nil"/>
              <w:left w:val="nil"/>
              <w:bottom w:val="single" w:color="auto" w:sz="4" w:space="0"/>
              <w:right w:val="single" w:color="auto" w:sz="4" w:space="0"/>
            </w:tcBorders>
            <w:noWrap/>
            <w:vAlign w:val="center"/>
          </w:tcPr>
          <w:p w14:paraId="064689DE">
            <w:pPr>
              <w:widowControl/>
              <w:ind w:firstLine="480" w:firstLineChars="200"/>
              <w:jc w:val="center"/>
              <w:rPr>
                <w:rFonts w:hint="eastAsia" w:ascii="仿宋" w:hAnsi="仿宋" w:eastAsia="仿宋"/>
                <w:kern w:val="0"/>
                <w:sz w:val="24"/>
                <w:szCs w:val="24"/>
              </w:rPr>
            </w:pPr>
            <w:r>
              <w:rPr>
                <w:rFonts w:hint="eastAsia" w:ascii="仿宋" w:hAnsi="仿宋" w:eastAsia="仿宋"/>
                <w:sz w:val="24"/>
                <w:szCs w:val="24"/>
              </w:rPr>
              <w:t>舞蹈表演</w:t>
            </w:r>
          </w:p>
        </w:tc>
        <w:tc>
          <w:tcPr>
            <w:tcW w:w="1608" w:type="dxa"/>
            <w:tcBorders>
              <w:top w:val="nil"/>
              <w:left w:val="nil"/>
              <w:bottom w:val="single" w:color="auto" w:sz="4" w:space="0"/>
              <w:right w:val="single" w:color="auto" w:sz="4" w:space="0"/>
            </w:tcBorders>
            <w:noWrap/>
            <w:vAlign w:val="center"/>
          </w:tcPr>
          <w:p w14:paraId="5E8A2EE0">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7500</w:t>
            </w:r>
          </w:p>
        </w:tc>
      </w:tr>
      <w:tr w14:paraId="5DF76363">
        <w:tblPrEx>
          <w:tblCellMar>
            <w:top w:w="0" w:type="dxa"/>
            <w:left w:w="108" w:type="dxa"/>
            <w:bottom w:w="0" w:type="dxa"/>
            <w:right w:w="108" w:type="dxa"/>
          </w:tblCellMar>
        </w:tblPrEx>
        <w:trPr>
          <w:trHeight w:val="425" w:hRule="exact"/>
          <w:jc w:val="center"/>
        </w:trPr>
        <w:tc>
          <w:tcPr>
            <w:tcW w:w="1276" w:type="dxa"/>
            <w:vMerge w:val="restart"/>
            <w:tcBorders>
              <w:top w:val="single" w:color="auto" w:sz="4" w:space="0"/>
              <w:left w:val="single" w:color="auto" w:sz="4" w:space="0"/>
              <w:bottom w:val="single" w:color="auto" w:sz="4" w:space="0"/>
              <w:right w:val="single" w:color="auto" w:sz="4" w:space="0"/>
            </w:tcBorders>
            <w:vAlign w:val="center"/>
          </w:tcPr>
          <w:p w14:paraId="57883594">
            <w:pPr>
              <w:rPr>
                <w:rFonts w:hint="default" w:ascii="仿宋" w:hAnsi="仿宋" w:eastAsia="仿宋" w:cs="宋体"/>
                <w:kern w:val="0"/>
                <w:sz w:val="24"/>
                <w:szCs w:val="24"/>
                <w:lang w:val="en-US" w:eastAsia="zh-CN"/>
              </w:rPr>
            </w:pPr>
            <w:r>
              <w:rPr>
                <w:rFonts w:hint="eastAsia" w:ascii="仿宋" w:hAnsi="仿宋" w:eastAsia="仿宋" w:cs="宋体"/>
                <w:kern w:val="0"/>
                <w:sz w:val="24"/>
                <w:szCs w:val="24"/>
                <w:lang w:val="en-US" w:eastAsia="zh-CN"/>
              </w:rPr>
              <w:t>专业组五</w:t>
            </w:r>
          </w:p>
        </w:tc>
        <w:tc>
          <w:tcPr>
            <w:tcW w:w="4961" w:type="dxa"/>
            <w:tcBorders>
              <w:top w:val="single" w:color="auto" w:sz="4" w:space="0"/>
              <w:left w:val="single" w:color="auto" w:sz="4" w:space="0"/>
              <w:bottom w:val="single" w:color="auto" w:sz="4" w:space="0"/>
              <w:right w:val="single" w:color="auto" w:sz="4" w:space="0"/>
            </w:tcBorders>
            <w:noWrap/>
            <w:vAlign w:val="center"/>
          </w:tcPr>
          <w:p w14:paraId="7B4CFB45">
            <w:pPr>
              <w:ind w:firstLine="480" w:firstLineChars="200"/>
              <w:jc w:val="center"/>
              <w:rPr>
                <w:rFonts w:hint="eastAsia" w:ascii="仿宋" w:hAnsi="仿宋" w:eastAsia="仿宋" w:cs="宋体"/>
                <w:sz w:val="24"/>
                <w:szCs w:val="24"/>
              </w:rPr>
            </w:pPr>
            <w:r>
              <w:rPr>
                <w:rFonts w:hint="eastAsia" w:ascii="仿宋" w:hAnsi="仿宋" w:eastAsia="仿宋"/>
                <w:sz w:val="24"/>
                <w:szCs w:val="24"/>
              </w:rPr>
              <w:t>视觉传达设计（校企合作）</w:t>
            </w:r>
          </w:p>
        </w:tc>
        <w:tc>
          <w:tcPr>
            <w:tcW w:w="1608" w:type="dxa"/>
            <w:tcBorders>
              <w:top w:val="single" w:color="auto" w:sz="4" w:space="0"/>
              <w:left w:val="single" w:color="auto" w:sz="4" w:space="0"/>
              <w:bottom w:val="single" w:color="auto" w:sz="4" w:space="0"/>
              <w:right w:val="single" w:color="auto" w:sz="4" w:space="0"/>
            </w:tcBorders>
            <w:noWrap/>
            <w:vAlign w:val="center"/>
          </w:tcPr>
          <w:p w14:paraId="501CEF87">
            <w:pPr>
              <w:widowControl/>
              <w:ind w:firstLine="480" w:firstLineChars="200"/>
              <w:textAlignment w:val="center"/>
              <w:rPr>
                <w:rFonts w:hint="default" w:ascii="仿宋" w:hAnsi="仿宋" w:eastAsia="仿宋"/>
                <w:sz w:val="24"/>
                <w:szCs w:val="24"/>
                <w:lang w:val="en-US" w:eastAsia="zh-CN"/>
              </w:rPr>
            </w:pPr>
            <w:r>
              <w:rPr>
                <w:rFonts w:hint="eastAsia" w:ascii="仿宋" w:hAnsi="仿宋" w:eastAsia="仿宋"/>
                <w:sz w:val="24"/>
                <w:szCs w:val="24"/>
                <w:lang w:val="en-US" w:eastAsia="zh-CN"/>
              </w:rPr>
              <w:t>8250</w:t>
            </w:r>
          </w:p>
        </w:tc>
      </w:tr>
      <w:tr w14:paraId="2A5C9E0D">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575CB3F2">
            <w:pPr>
              <w:widowControl/>
              <w:ind w:firstLine="480" w:firstLineChars="200"/>
              <w:jc w:val="left"/>
              <w:rPr>
                <w:rFonts w:hint="eastAsia" w:ascii="仿宋" w:hAnsi="仿宋" w:eastAsia="仿宋" w:cs="宋体"/>
                <w:kern w:val="0"/>
                <w:sz w:val="24"/>
                <w:szCs w:val="24"/>
              </w:rPr>
            </w:pPr>
          </w:p>
        </w:tc>
        <w:tc>
          <w:tcPr>
            <w:tcW w:w="4961" w:type="dxa"/>
            <w:tcBorders>
              <w:top w:val="single" w:color="auto" w:sz="4" w:space="0"/>
              <w:left w:val="single" w:color="auto" w:sz="4" w:space="0"/>
              <w:bottom w:val="single" w:color="auto" w:sz="4" w:space="0"/>
              <w:right w:val="single" w:color="auto" w:sz="4" w:space="0"/>
            </w:tcBorders>
            <w:noWrap/>
          </w:tcPr>
          <w:p w14:paraId="60AEE506">
            <w:pPr>
              <w:widowControl/>
              <w:ind w:firstLine="480" w:firstLineChars="200"/>
              <w:jc w:val="center"/>
              <w:rPr>
                <w:rFonts w:hint="eastAsia" w:ascii="仿宋" w:hAnsi="仿宋" w:eastAsia="仿宋"/>
                <w:kern w:val="0"/>
                <w:sz w:val="24"/>
                <w:szCs w:val="24"/>
              </w:rPr>
            </w:pPr>
            <w:r>
              <w:rPr>
                <w:rFonts w:hint="eastAsia" w:ascii="仿宋" w:hAnsi="仿宋" w:eastAsia="仿宋"/>
                <w:sz w:val="24"/>
                <w:szCs w:val="24"/>
              </w:rPr>
              <w:t>数字媒体艺术设计（校企合作）</w:t>
            </w:r>
          </w:p>
        </w:tc>
        <w:tc>
          <w:tcPr>
            <w:tcW w:w="1608" w:type="dxa"/>
            <w:tcBorders>
              <w:top w:val="single" w:color="auto" w:sz="4" w:space="0"/>
              <w:left w:val="single" w:color="auto" w:sz="4" w:space="0"/>
              <w:bottom w:val="single" w:color="auto" w:sz="4" w:space="0"/>
              <w:right w:val="single" w:color="auto" w:sz="4" w:space="0"/>
            </w:tcBorders>
            <w:noWrap/>
            <w:vAlign w:val="center"/>
          </w:tcPr>
          <w:p w14:paraId="35C0BE6F">
            <w:pPr>
              <w:widowControl/>
              <w:ind w:firstLine="480" w:firstLineChars="200"/>
              <w:textAlignment w:val="center"/>
              <w:rPr>
                <w:rFonts w:hint="default" w:ascii="仿宋" w:hAnsi="仿宋" w:eastAsia="仿宋"/>
                <w:sz w:val="24"/>
                <w:szCs w:val="24"/>
                <w:lang w:val="en-US" w:eastAsia="zh-CN"/>
              </w:rPr>
            </w:pPr>
            <w:r>
              <w:rPr>
                <w:rFonts w:hint="eastAsia" w:ascii="仿宋" w:hAnsi="仿宋" w:eastAsia="仿宋"/>
                <w:sz w:val="24"/>
                <w:szCs w:val="24"/>
                <w:lang w:val="en-US" w:eastAsia="zh-CN"/>
              </w:rPr>
              <w:t>8250</w:t>
            </w:r>
          </w:p>
        </w:tc>
      </w:tr>
      <w:tr w14:paraId="468814E0">
        <w:tblPrEx>
          <w:tblCellMar>
            <w:top w:w="0" w:type="dxa"/>
            <w:left w:w="108" w:type="dxa"/>
            <w:bottom w:w="0" w:type="dxa"/>
            <w:right w:w="108" w:type="dxa"/>
          </w:tblCellMar>
        </w:tblPrEx>
        <w:trPr>
          <w:trHeight w:val="425"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CD62B5B">
            <w:pPr>
              <w:widowControl/>
              <w:jc w:val="left"/>
              <w:rPr>
                <w:rFonts w:hint="eastAsia" w:ascii="仿宋" w:hAnsi="仿宋" w:eastAsia="仿宋" w:cs="宋体"/>
                <w:kern w:val="0"/>
                <w:sz w:val="24"/>
                <w:szCs w:val="24"/>
              </w:rPr>
            </w:pPr>
          </w:p>
        </w:tc>
        <w:tc>
          <w:tcPr>
            <w:tcW w:w="4961" w:type="dxa"/>
            <w:tcBorders>
              <w:top w:val="single" w:color="auto" w:sz="4" w:space="0"/>
              <w:left w:val="single" w:color="auto" w:sz="4" w:space="0"/>
              <w:bottom w:val="single" w:color="auto" w:sz="4" w:space="0"/>
              <w:right w:val="single" w:color="auto" w:sz="4" w:space="0"/>
            </w:tcBorders>
            <w:noWrap/>
          </w:tcPr>
          <w:p w14:paraId="2C2367B4">
            <w:pPr>
              <w:widowControl/>
              <w:ind w:firstLine="480" w:firstLineChars="200"/>
              <w:jc w:val="center"/>
              <w:rPr>
                <w:rFonts w:hint="eastAsia" w:ascii="仿宋" w:hAnsi="仿宋" w:eastAsia="仿宋"/>
                <w:sz w:val="24"/>
                <w:szCs w:val="24"/>
              </w:rPr>
            </w:pPr>
            <w:r>
              <w:rPr>
                <w:rFonts w:hint="eastAsia" w:ascii="仿宋" w:hAnsi="仿宋" w:eastAsia="仿宋"/>
                <w:sz w:val="24"/>
                <w:szCs w:val="24"/>
              </w:rPr>
              <w:t>产品艺术设计</w:t>
            </w:r>
          </w:p>
        </w:tc>
        <w:tc>
          <w:tcPr>
            <w:tcW w:w="1608" w:type="dxa"/>
            <w:tcBorders>
              <w:top w:val="single" w:color="auto" w:sz="4" w:space="0"/>
              <w:left w:val="single" w:color="auto" w:sz="4" w:space="0"/>
              <w:bottom w:val="single" w:color="auto" w:sz="4" w:space="0"/>
              <w:right w:val="single" w:color="auto" w:sz="4" w:space="0"/>
            </w:tcBorders>
            <w:noWrap/>
            <w:vAlign w:val="center"/>
          </w:tcPr>
          <w:p w14:paraId="7345CD07">
            <w:pPr>
              <w:widowControl/>
              <w:ind w:firstLine="480" w:firstLineChars="200"/>
              <w:textAlignment w:val="center"/>
              <w:rPr>
                <w:rFonts w:hint="eastAsia" w:ascii="仿宋" w:hAnsi="仿宋" w:eastAsia="仿宋"/>
                <w:sz w:val="24"/>
                <w:szCs w:val="24"/>
              </w:rPr>
            </w:pPr>
            <w:r>
              <w:rPr>
                <w:rFonts w:hint="eastAsia" w:ascii="仿宋" w:hAnsi="仿宋" w:eastAsia="仿宋"/>
                <w:sz w:val="24"/>
                <w:szCs w:val="24"/>
              </w:rPr>
              <w:t>7500</w:t>
            </w:r>
          </w:p>
        </w:tc>
      </w:tr>
    </w:tbl>
    <w:p w14:paraId="346B4879">
      <w:pPr>
        <w:widowControl/>
        <w:spacing w:line="560" w:lineRule="exact"/>
        <w:ind w:firstLine="562" w:firstLineChars="200"/>
        <w:jc w:val="left"/>
        <w:rPr>
          <w:rFonts w:hint="eastAsia" w:ascii="仿宋" w:hAnsi="仿宋" w:eastAsia="仿宋" w:cs="宋体"/>
          <w:kern w:val="0"/>
          <w:sz w:val="28"/>
          <w:szCs w:val="28"/>
        </w:rPr>
      </w:pPr>
      <w:r>
        <w:rPr>
          <w:rFonts w:hint="eastAsia" w:ascii="仿宋" w:hAnsi="仿宋" w:eastAsia="仿宋"/>
          <w:b/>
          <w:bCs/>
          <w:sz w:val="28"/>
          <w:szCs w:val="28"/>
        </w:rPr>
        <w:t xml:space="preserve">第十三条 </w:t>
      </w:r>
      <w:r>
        <w:rPr>
          <w:rFonts w:hint="eastAsia" w:ascii="仿宋" w:hAnsi="仿宋" w:eastAsia="仿宋" w:cs="宋体"/>
          <w:kern w:val="0"/>
          <w:sz w:val="28"/>
          <w:szCs w:val="28"/>
        </w:rPr>
        <w:t>单列计划及专业说明。根据省教育厅政策规定，单列计划纳入我校单招总计划，且均包含在各相关专业的招生计划内，未录满的计划自动转为普通类计划。</w:t>
      </w:r>
    </w:p>
    <w:p w14:paraId="5B327385">
      <w:pPr>
        <w:widowControl/>
        <w:spacing w:line="560" w:lineRule="exact"/>
        <w:ind w:firstLine="560" w:firstLineChars="200"/>
        <w:jc w:val="left"/>
        <w:rPr>
          <w:rFonts w:hint="eastAsia" w:ascii="仿宋" w:hAnsi="仿宋" w:eastAsia="仿宋" w:cs="宋体"/>
          <w:kern w:val="0"/>
          <w:sz w:val="28"/>
          <w:szCs w:val="28"/>
        </w:rPr>
      </w:pPr>
      <w:r>
        <w:rPr>
          <w:rFonts w:hint="eastAsia" w:ascii="仿宋" w:hAnsi="仿宋" w:eastAsia="仿宋" w:cs="宋体"/>
          <w:kern w:val="0"/>
          <w:sz w:val="28"/>
          <w:szCs w:val="28"/>
        </w:rPr>
        <w:t>1.退役军人计划</w:t>
      </w:r>
      <w:r>
        <w:rPr>
          <w:rFonts w:hint="eastAsia" w:ascii="仿宋" w:hAnsi="仿宋" w:eastAsia="仿宋"/>
          <w:sz w:val="28"/>
          <w:szCs w:val="28"/>
        </w:rPr>
        <w:t>10人，考生</w:t>
      </w:r>
      <w:r>
        <w:rPr>
          <w:rFonts w:hint="eastAsia" w:ascii="仿宋" w:hAnsi="仿宋" w:eastAsia="仿宋" w:cs="宋体"/>
          <w:kern w:val="0"/>
          <w:sz w:val="28"/>
          <w:szCs w:val="28"/>
        </w:rPr>
        <w:t>可在上表专业范围内自行选择报考，但每个专业最多录取2人。</w:t>
      </w:r>
    </w:p>
    <w:p w14:paraId="2FC103BB">
      <w:pPr>
        <w:widowControl/>
        <w:spacing w:line="560" w:lineRule="exact"/>
        <w:ind w:firstLine="560" w:firstLineChars="200"/>
        <w:jc w:val="left"/>
        <w:rPr>
          <w:rFonts w:hint="eastAsia" w:ascii="仿宋" w:hAnsi="仿宋" w:eastAsia="仿宋"/>
          <w:sz w:val="28"/>
          <w:szCs w:val="28"/>
        </w:rPr>
      </w:pPr>
      <w:r>
        <w:rPr>
          <w:rFonts w:hint="eastAsia" w:ascii="仿宋" w:hAnsi="仿宋" w:eastAsia="仿宋" w:cs="宋体"/>
          <w:kern w:val="0"/>
          <w:sz w:val="28"/>
          <w:szCs w:val="28"/>
        </w:rPr>
        <w:t>2.其他社会人员（农民工、下岗失业人员、新型职业农民和企业在岗人员）计划</w:t>
      </w:r>
      <w:r>
        <w:rPr>
          <w:rFonts w:hint="eastAsia" w:ascii="仿宋" w:hAnsi="仿宋" w:eastAsia="仿宋"/>
          <w:sz w:val="28"/>
          <w:szCs w:val="28"/>
        </w:rPr>
        <w:t xml:space="preserve"> 20人</w:t>
      </w:r>
      <w:r>
        <w:rPr>
          <w:rFonts w:hint="eastAsia" w:ascii="仿宋" w:hAnsi="仿宋" w:eastAsia="仿宋" w:cs="宋体"/>
          <w:kern w:val="0"/>
          <w:sz w:val="28"/>
          <w:szCs w:val="28"/>
        </w:rPr>
        <w:t>，其中</w:t>
      </w:r>
      <w:r>
        <w:rPr>
          <w:rFonts w:hint="eastAsia" w:ascii="仿宋" w:hAnsi="仿宋" w:eastAsia="仿宋"/>
          <w:sz w:val="28"/>
          <w:szCs w:val="28"/>
        </w:rPr>
        <w:t>婴幼儿托育服务与管理专业10人；智慧健康养老服务与管理专业10人。</w:t>
      </w:r>
    </w:p>
    <w:p w14:paraId="38C7820F">
      <w:pPr>
        <w:spacing w:line="560" w:lineRule="exact"/>
        <w:ind w:firstLine="562" w:firstLineChars="200"/>
        <w:rPr>
          <w:rFonts w:hint="eastAsia" w:ascii="仿宋" w:hAnsi="仿宋" w:eastAsia="仿宋"/>
          <w:sz w:val="28"/>
          <w:szCs w:val="28"/>
        </w:rPr>
      </w:pPr>
      <w:r>
        <w:rPr>
          <w:rFonts w:hint="eastAsia" w:ascii="仿宋" w:hAnsi="仿宋" w:eastAsia="仿宋" w:cs="宋体"/>
          <w:b/>
          <w:bCs/>
          <w:kern w:val="0"/>
          <w:sz w:val="28"/>
          <w:szCs w:val="28"/>
        </w:rPr>
        <w:t>第十四条</w:t>
      </w:r>
      <w:r>
        <w:rPr>
          <w:rFonts w:hint="eastAsia" w:ascii="仿宋" w:hAnsi="仿宋" w:eastAsia="仿宋" w:cs="宋体"/>
          <w:kern w:val="0"/>
          <w:sz w:val="28"/>
          <w:szCs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58FA92A4">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单招考试</w:t>
      </w:r>
    </w:p>
    <w:p w14:paraId="7B049659">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第十五条 </w:t>
      </w:r>
      <w:r>
        <w:rPr>
          <w:rFonts w:hint="eastAsia" w:ascii="仿宋" w:hAnsi="仿宋" w:eastAsia="仿宋"/>
          <w:sz w:val="28"/>
          <w:szCs w:val="28"/>
        </w:rPr>
        <w:t>学校将本着公平、公正、择优录取的原则，按照国家教育考试相关规定，在省教育厅、省教育考试院的指导和监督下组织单招考试的相关工作。</w:t>
      </w:r>
    </w:p>
    <w:p w14:paraId="215BDC63">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第十六条 </w:t>
      </w:r>
      <w:r>
        <w:rPr>
          <w:rFonts w:hint="eastAsia" w:ascii="仿宋" w:hAnsi="仿宋" w:eastAsia="仿宋"/>
          <w:sz w:val="28"/>
          <w:szCs w:val="28"/>
        </w:rPr>
        <w:t>参加学校今年单招的考生分为应届普通高中毕业考生（具有2024年普通高中学业水平合格性考试</w:t>
      </w:r>
      <w:r>
        <w:rPr>
          <w:rFonts w:hint="eastAsia" w:ascii="仿宋" w:hAnsi="仿宋" w:eastAsia="仿宋"/>
          <w:sz w:val="28"/>
          <w:szCs w:val="28"/>
          <w:lang w:val="en-US" w:eastAsia="zh-CN"/>
        </w:rPr>
        <w:t>语文、数学、外语三个科目</w:t>
      </w:r>
      <w:r>
        <w:rPr>
          <w:rFonts w:hint="eastAsia" w:ascii="仿宋" w:hAnsi="仿宋" w:eastAsia="仿宋"/>
          <w:sz w:val="28"/>
          <w:szCs w:val="28"/>
        </w:rPr>
        <w:t>有效成绩）、中职考生和往届普通高中考生及同等学力考生（含普通高中学业水平合格性考试</w:t>
      </w:r>
      <w:r>
        <w:rPr>
          <w:rFonts w:hint="eastAsia" w:ascii="仿宋" w:hAnsi="仿宋" w:eastAsia="仿宋"/>
          <w:sz w:val="28"/>
          <w:szCs w:val="28"/>
          <w:lang w:val="en-US" w:eastAsia="zh-CN"/>
        </w:rPr>
        <w:t>语文、数学、外语三个科目</w:t>
      </w:r>
      <w:r>
        <w:rPr>
          <w:rFonts w:hint="eastAsia" w:ascii="仿宋" w:hAnsi="仿宋" w:eastAsia="仿宋"/>
          <w:sz w:val="28"/>
          <w:szCs w:val="28"/>
        </w:rPr>
        <w:t>有效成绩不全的应届普通高中考生）、退役军人、其他社会人员4个大类。</w:t>
      </w:r>
    </w:p>
    <w:p w14:paraId="3EED9D41">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第十七条 </w:t>
      </w:r>
      <w:r>
        <w:rPr>
          <w:rFonts w:hint="eastAsia" w:ascii="仿宋" w:hAnsi="仿宋" w:eastAsia="仿宋"/>
          <w:sz w:val="28"/>
          <w:szCs w:val="28"/>
        </w:rPr>
        <w:t>按照“文化素质+职业技能”方式，分类组织考试。根据考生的类别，考试按以下方式进行。</w:t>
      </w:r>
    </w:p>
    <w:p w14:paraId="511666CC">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1.第一类：应届普通高中毕业考生。文化素质测试成绩以学生取得的高中学业水平合格性考试语文、数学、外语三个科目的有效成绩代替。职业技能测试由学校组织，学校分专业组，按照人才培养需要，采取技能展示等方式进行，重点考察学生的职业适应性。</w:t>
      </w:r>
    </w:p>
    <w:p w14:paraId="5D498F08">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采取技能展示等方式进行，重点考察学生的职业技能。</w:t>
      </w:r>
    </w:p>
    <w:p w14:paraId="33E860CC">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3.第三、第四类：退役军人及其他社会人员。退役军人、农民工等社会人员考生免予文化素质测试。职业技能测试由学校组织，参照上述第二类考生职业技能测试方式，参加学校组织的职业技能测试。</w:t>
      </w:r>
    </w:p>
    <w:p w14:paraId="73E3F220">
      <w:pPr>
        <w:spacing w:line="560" w:lineRule="exact"/>
        <w:ind w:firstLine="562" w:firstLineChars="200"/>
        <w:rPr>
          <w:rFonts w:hint="eastAsia" w:ascii="仿宋" w:hAnsi="仿宋" w:eastAsia="仿宋" w:cs="方正小标宋简体"/>
          <w:sz w:val="28"/>
          <w:szCs w:val="28"/>
        </w:rPr>
      </w:pPr>
      <w:r>
        <w:rPr>
          <w:rFonts w:hint="eastAsia" w:ascii="仿宋" w:hAnsi="仿宋" w:eastAsia="仿宋"/>
          <w:b/>
          <w:bCs/>
          <w:sz w:val="28"/>
          <w:szCs w:val="28"/>
        </w:rPr>
        <w:t>第十八条</w:t>
      </w:r>
      <w:r>
        <w:rPr>
          <w:rFonts w:hint="eastAsia" w:ascii="仿宋" w:hAnsi="仿宋" w:eastAsia="仿宋"/>
          <w:sz w:val="28"/>
          <w:szCs w:val="28"/>
        </w:rPr>
        <w:t xml:space="preserve"> 考生的综合成绩为文化素质成绩+职业技能成绩。上述第一类、第二类考生的高职单招综合成绩（总成绩）满分为600分，第三、第四类考生的综合成绩满分为300分。其中，对于报考我校普通类专业，文化素质成绩与职业技能成绩占比为1：1，即分别各占300分；报考音乐表演、体育艺术表演、运动训练、健身指导与管理、舞蹈表演、视觉传达设计、数字媒体艺术设计、产品艺术设计专业，文化素质成绩与职业技能成绩占比为3：7，即文化素质成绩和职业技能测试成绩分别为180分、420分。</w:t>
      </w:r>
    </w:p>
    <w:p w14:paraId="26CBF404">
      <w:pPr>
        <w:spacing w:line="560" w:lineRule="exact"/>
        <w:ind w:firstLine="562" w:firstLineChars="200"/>
        <w:rPr>
          <w:rFonts w:hint="eastAsia" w:ascii="仿宋" w:hAnsi="仿宋" w:eastAsia="仿宋"/>
          <w:color w:val="FF0000"/>
          <w:sz w:val="28"/>
          <w:szCs w:val="28"/>
        </w:rPr>
      </w:pPr>
      <w:r>
        <w:rPr>
          <w:rFonts w:hint="eastAsia" w:ascii="仿宋" w:hAnsi="仿宋" w:eastAsia="仿宋"/>
          <w:b/>
          <w:bCs/>
          <w:sz w:val="28"/>
          <w:szCs w:val="28"/>
        </w:rPr>
        <w:t>第十九条</w:t>
      </w:r>
      <w:r>
        <w:rPr>
          <w:rFonts w:hint="eastAsia" w:ascii="仿宋" w:hAnsi="仿宋" w:eastAsia="仿宋"/>
          <w:sz w:val="28"/>
          <w:szCs w:val="28"/>
        </w:rPr>
        <w:t xml:space="preserve"> 我校针对第二类考生组织的文化素质测试为闭卷笔试方式。我校组织职业技能测试，采取技能展示的方式进行考察。</w:t>
      </w:r>
    </w:p>
    <w:p w14:paraId="0DEEA537">
      <w:pPr>
        <w:spacing w:line="560" w:lineRule="exact"/>
        <w:ind w:firstLine="562" w:firstLineChars="200"/>
        <w:rPr>
          <w:rFonts w:hint="eastAsia" w:ascii="仿宋" w:hAnsi="仿宋" w:eastAsia="仿宋" w:cs="方正小标宋简体"/>
          <w:sz w:val="28"/>
          <w:szCs w:val="28"/>
        </w:rPr>
      </w:pPr>
      <w:r>
        <w:rPr>
          <w:rFonts w:hint="eastAsia" w:ascii="仿宋" w:hAnsi="仿宋" w:eastAsia="仿宋"/>
          <w:b/>
          <w:bCs/>
          <w:sz w:val="28"/>
          <w:szCs w:val="28"/>
        </w:rPr>
        <w:t>第二十条</w:t>
      </w:r>
      <w:r>
        <w:rPr>
          <w:rFonts w:hint="eastAsia" w:ascii="仿宋" w:hAnsi="仿宋" w:eastAsia="仿宋"/>
          <w:sz w:val="28"/>
          <w:szCs w:val="28"/>
        </w:rPr>
        <w:t xml:space="preserve"> 我校将按照分类考试的原则，对不同专业组的职业技能测试分别进行命题。我校文化素质测试、职业技能测试的有关说明、考试范围等，将在我校官网上进行公布。</w:t>
      </w:r>
    </w:p>
    <w:p w14:paraId="5ED56251">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第二十一条 </w:t>
      </w:r>
      <w:r>
        <w:rPr>
          <w:rFonts w:hint="eastAsia" w:ascii="仿宋" w:hAnsi="仿宋" w:eastAsia="仿宋"/>
          <w:sz w:val="28"/>
          <w:szCs w:val="28"/>
        </w:rPr>
        <w:t>符合以下免试条件的考生在单招考试前向学校申请。其中，职业技能特长申请免技能测试的考生，须在2025年</w:t>
      </w:r>
      <w:r>
        <w:rPr>
          <w:rFonts w:hint="eastAsia" w:ascii="仿宋" w:hAnsi="仿宋" w:eastAsia="仿宋"/>
          <w:sz w:val="28"/>
          <w:szCs w:val="28"/>
          <w:lang w:val="en-US" w:eastAsia="zh-CN"/>
        </w:rPr>
        <w:t>2</w:t>
      </w:r>
      <w:r>
        <w:rPr>
          <w:rFonts w:hint="eastAsia" w:ascii="仿宋" w:hAnsi="仿宋" w:eastAsia="仿宋"/>
          <w:sz w:val="28"/>
          <w:szCs w:val="28"/>
        </w:rPr>
        <w:t>月</w:t>
      </w:r>
      <w:r>
        <w:rPr>
          <w:rFonts w:hint="eastAsia" w:ascii="仿宋" w:hAnsi="仿宋" w:eastAsia="仿宋"/>
          <w:sz w:val="28"/>
          <w:szCs w:val="28"/>
          <w:lang w:val="en-US" w:eastAsia="zh-CN"/>
        </w:rPr>
        <w:t>24</w:t>
      </w:r>
      <w:r>
        <w:rPr>
          <w:rFonts w:hint="eastAsia" w:ascii="仿宋" w:hAnsi="仿宋" w:eastAsia="仿宋"/>
          <w:sz w:val="28"/>
          <w:szCs w:val="28"/>
        </w:rPr>
        <w:t>日前，通过现场提交方式，将相关申请材料（含身份证原件、获奖证书等材料）报我校的招生就业指导处审核。免试直接录取的考生不占用单招计划数，使用我校统招计划，在统招录取前完成录取手续办理，有关审核程序和方法由省教育考试院另行规定。</w:t>
      </w:r>
    </w:p>
    <w:p w14:paraId="396D7875">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3C0AEF53">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57D2A14B">
      <w:pPr>
        <w:spacing w:line="560" w:lineRule="exact"/>
        <w:ind w:firstLine="560" w:firstLineChars="200"/>
        <w:rPr>
          <w:rFonts w:hint="eastAsia" w:ascii="仿宋" w:hAnsi="仿宋" w:eastAsia="仿宋" w:cs="方正小标宋简体"/>
          <w:sz w:val="28"/>
          <w:szCs w:val="28"/>
        </w:rPr>
      </w:pPr>
      <w:r>
        <w:rPr>
          <w:rFonts w:hint="eastAsia" w:ascii="仿宋" w:hAnsi="仿宋" w:eastAsia="仿宋"/>
          <w:sz w:val="28"/>
          <w:szCs w:val="28"/>
        </w:rPr>
        <w:t>3.免试考生的录取专业与其获奖赛项对应（考生如需跨专业报考，则不能享受免试政策）。</w:t>
      </w:r>
    </w:p>
    <w:p w14:paraId="676B0FFF">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第二十二条</w:t>
      </w:r>
      <w:r>
        <w:rPr>
          <w:rFonts w:hint="eastAsia" w:ascii="仿宋" w:hAnsi="仿宋" w:eastAsia="仿宋"/>
          <w:sz w:val="28"/>
          <w:szCs w:val="28"/>
        </w:rPr>
        <w:t xml:space="preserve"> 学校按一志愿、二志愿分别组织单招考试。第一志愿考试时间为2025年3月8日-9日。若第一志愿生源不足，未完成单招计划，我校将组织第二志愿考试，参考对象为第二志愿报考我校且未被第一志愿学校录取考生，时间为2025年4月5日-6日。各科目的具体考试时间及地点将在我校官网上另行公布。</w:t>
      </w:r>
    </w:p>
    <w:p w14:paraId="5C780298">
      <w:pPr>
        <w:wordWrap w:val="0"/>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第二十三条 </w:t>
      </w:r>
      <w:r>
        <w:rPr>
          <w:rFonts w:hint="eastAsia" w:ascii="仿宋" w:hAnsi="仿宋" w:eastAsia="仿宋"/>
          <w:sz w:val="28"/>
          <w:szCs w:val="28"/>
        </w:rPr>
        <w:t>根据物价部门统一规定，高职单招的报考费为80元/生。报考我校第一志愿的考生费缴纳时间为2025年3月3日10:00之前，缴纳方式为微信支付，缴费流程详见学校官网通知，网址：</w:t>
      </w:r>
      <w:r>
        <w:fldChar w:fldCharType="begin"/>
      </w:r>
      <w:r>
        <w:instrText xml:space="preserve"> HYPERLINK "https://www.xzyesf.cn" </w:instrText>
      </w:r>
      <w:r>
        <w:fldChar w:fldCharType="separate"/>
      </w:r>
      <w:r>
        <w:rPr>
          <w:rStyle w:val="8"/>
          <w:rFonts w:hint="eastAsia" w:ascii="仿宋" w:hAnsi="仿宋" w:eastAsia="仿宋"/>
          <w:color w:val="auto"/>
          <w:sz w:val="28"/>
          <w:szCs w:val="28"/>
        </w:rPr>
        <w:t>https://www.xzyesf.cn</w:t>
      </w:r>
      <w:r>
        <w:rPr>
          <w:rStyle w:val="8"/>
          <w:rFonts w:hint="eastAsia" w:ascii="仿宋" w:hAnsi="仿宋" w:eastAsia="仿宋"/>
          <w:color w:val="auto"/>
          <w:sz w:val="28"/>
          <w:szCs w:val="28"/>
        </w:rPr>
        <w:fldChar w:fldCharType="end"/>
      </w:r>
      <w:r>
        <w:rPr>
          <w:rFonts w:hint="eastAsia" w:ascii="仿宋" w:hAnsi="仿宋" w:eastAsia="仿宋"/>
          <w:sz w:val="28"/>
          <w:szCs w:val="28"/>
        </w:rPr>
        <w:t xml:space="preserve"> 。未在规定时间内缴费的，不得参加我校单招考试及录取。缴费成功的考生于2025年3月6日-7日登录学校官网自行打印准考证。第二志愿考生缴费及准考证打印时间学校另行公布。缴费咨询电话：0739-5205077，打印准考证咨询电话：0739-5205077。缴费及准考证打印流程详见学校官网，官网网址</w:t>
      </w:r>
      <w:r>
        <w:fldChar w:fldCharType="begin"/>
      </w:r>
      <w:r>
        <w:instrText xml:space="preserve"> HYPERLINK "https://www.xzyesf.cn" </w:instrText>
      </w:r>
      <w:r>
        <w:fldChar w:fldCharType="separate"/>
      </w:r>
      <w:r>
        <w:rPr>
          <w:rStyle w:val="8"/>
          <w:rFonts w:hint="eastAsia" w:ascii="仿宋" w:hAnsi="仿宋" w:eastAsia="仿宋"/>
          <w:color w:val="auto"/>
          <w:sz w:val="28"/>
          <w:szCs w:val="28"/>
        </w:rPr>
        <w:t>https://www.xzyesf.cn</w:t>
      </w:r>
      <w:r>
        <w:rPr>
          <w:rStyle w:val="8"/>
          <w:rFonts w:hint="eastAsia" w:ascii="仿宋" w:hAnsi="仿宋" w:eastAsia="仿宋"/>
          <w:color w:val="auto"/>
          <w:sz w:val="28"/>
          <w:szCs w:val="28"/>
        </w:rPr>
        <w:fldChar w:fldCharType="end"/>
      </w:r>
      <w:r>
        <w:rPr>
          <w:rFonts w:hint="eastAsia" w:ascii="仿宋" w:hAnsi="仿宋" w:eastAsia="仿宋"/>
          <w:sz w:val="28"/>
          <w:szCs w:val="28"/>
        </w:rPr>
        <w:t>。</w:t>
      </w:r>
    </w:p>
    <w:p w14:paraId="09AD1D2A">
      <w:pPr>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第二十四条</w:t>
      </w:r>
      <w:r>
        <w:rPr>
          <w:rFonts w:hint="eastAsia" w:ascii="仿宋" w:hAnsi="仿宋" w:eastAsia="仿宋"/>
          <w:sz w:val="28"/>
          <w:szCs w:val="28"/>
        </w:rPr>
        <w:t xml:space="preserve"> 我校单招考试在省教育考试院的指导下，参照国家教育考试规定进行组织。在学校招生工作领导小组的统筹下，教务、招生、纪检等部门共同组织考务工作。具体由教务处组织命题，并负责其保密工作；教务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5712869E">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单招录取</w:t>
      </w:r>
    </w:p>
    <w:p w14:paraId="70F02CCC">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第二十五条</w:t>
      </w:r>
      <w:r>
        <w:rPr>
          <w:rFonts w:hint="eastAsia" w:ascii="仿宋" w:hAnsi="仿宋" w:eastAsia="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w:t>
      </w:r>
    </w:p>
    <w:p w14:paraId="524B5F49">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第二十六条</w:t>
      </w:r>
      <w:r>
        <w:rPr>
          <w:rFonts w:hint="eastAsia" w:ascii="仿宋" w:hAnsi="仿宋" w:eastAsia="仿宋"/>
          <w:sz w:val="28"/>
          <w:szCs w:val="28"/>
        </w:rPr>
        <w:t xml:space="preserve"> 单招录取首先对报考单列计划的考生（第三类、第四类）进行录取，单列计划只录取第一志愿报考的考生，如有剩余单列计划则转为普通类计划录取第一类、第二类考生。</w:t>
      </w:r>
    </w:p>
    <w:p w14:paraId="625FBEC4">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第二十七条 </w:t>
      </w:r>
      <w:r>
        <w:rPr>
          <w:rFonts w:hint="eastAsia" w:ascii="仿宋" w:hAnsi="仿宋" w:eastAsia="仿宋"/>
          <w:sz w:val="28"/>
          <w:szCs w:val="28"/>
        </w:rPr>
        <w:t>普通类考生分类别分专业招生计划以实际参考的考生人数为基数，按专业计划数除以该专业参考总人数再乘以各类别参考人数的计算公式列出各专业第一类考生、第二类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w:t>
      </w:r>
      <w:r>
        <w:rPr>
          <w:rFonts w:hint="eastAsia" w:ascii="仿宋" w:hAnsi="仿宋" w:eastAsia="仿宋" w:cs="汉仪细圆B5"/>
          <w:sz w:val="28"/>
          <w:szCs w:val="28"/>
        </w:rPr>
        <w:t>×150</w:t>
      </w:r>
      <w:r>
        <w:rPr>
          <w:rFonts w:hint="eastAsia" w:ascii="仿宋" w:hAnsi="仿宋" w:eastAsia="仿宋"/>
          <w:sz w:val="28"/>
          <w:szCs w:val="28"/>
        </w:rPr>
        <w:t>。各类别各专业计划确定后，录取过程中不再调整和追加。</w:t>
      </w:r>
    </w:p>
    <w:p w14:paraId="65C16BF5">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第二十八条</w:t>
      </w:r>
      <w:r>
        <w:rPr>
          <w:rFonts w:hint="eastAsia" w:ascii="仿宋" w:hAnsi="仿宋" w:eastAsia="仿宋"/>
          <w:sz w:val="28"/>
          <w:szCs w:val="28"/>
        </w:rPr>
        <w:t xml:space="preserve"> 单招录取工作按照“学校负责、招办监督”的原则进行。各类别按照以下顺序进行。</w:t>
      </w:r>
      <w:bookmarkStart w:id="1" w:name="_GoBack"/>
      <w:bookmarkEnd w:id="1"/>
    </w:p>
    <w:p w14:paraId="2BF65CF5">
      <w:pPr>
        <w:widowControl/>
        <w:shd w:val="clear" w:color="auto" w:fill="FFFFFF"/>
        <w:spacing w:line="560" w:lineRule="exact"/>
        <w:ind w:firstLine="560" w:firstLineChars="200"/>
        <w:jc w:val="left"/>
        <w:rPr>
          <w:rFonts w:hint="eastAsia" w:ascii="仿宋" w:hAnsi="仿宋" w:eastAsia="仿宋" w:cs="方正小标宋简体"/>
          <w:sz w:val="28"/>
          <w:szCs w:val="28"/>
        </w:rPr>
      </w:pPr>
      <w:r>
        <w:rPr>
          <w:rFonts w:hint="eastAsia" w:ascii="仿宋" w:hAnsi="仿宋" w:eastAsia="仿宋"/>
          <w:sz w:val="28"/>
          <w:szCs w:val="28"/>
        </w:rPr>
        <w:t>1.退役军人考生。按考生职业技能测试综合成绩从高分到低分进行录取，录完为止。为避免个别专业扎堆报考，造成给后续普通类考生计划不足，各专业录取退役军人考生的人数不超过2人。</w:t>
      </w:r>
    </w:p>
    <w:p w14:paraId="1B60E760">
      <w:pPr>
        <w:widowControl/>
        <w:shd w:val="clear" w:color="auto" w:fill="FFFFFF"/>
        <w:spacing w:line="560" w:lineRule="exact"/>
        <w:ind w:firstLine="560" w:firstLineChars="200"/>
        <w:jc w:val="left"/>
        <w:rPr>
          <w:rFonts w:hint="eastAsia" w:ascii="仿宋" w:hAnsi="仿宋" w:eastAsia="仿宋"/>
          <w:sz w:val="28"/>
          <w:szCs w:val="28"/>
        </w:rPr>
      </w:pPr>
      <w:r>
        <w:rPr>
          <w:rFonts w:hint="eastAsia" w:ascii="仿宋" w:hAnsi="仿宋" w:eastAsia="仿宋"/>
          <w:sz w:val="28"/>
          <w:szCs w:val="28"/>
        </w:rPr>
        <w:t>2.其他社会人员（农民工、下岗失业人员、新型职业农民和企业在岗人员）：按考生职业技能测试综合成绩从高分到低分进行录取，录完为止。</w:t>
      </w:r>
    </w:p>
    <w:p w14:paraId="100B2AB8">
      <w:pPr>
        <w:widowControl/>
        <w:shd w:val="clear" w:color="auto" w:fill="FFFFFF"/>
        <w:spacing w:line="560" w:lineRule="exact"/>
        <w:ind w:firstLine="560" w:firstLineChars="200"/>
        <w:jc w:val="left"/>
        <w:rPr>
          <w:rFonts w:hint="eastAsia" w:ascii="仿宋" w:hAnsi="仿宋" w:eastAsia="仿宋"/>
          <w:sz w:val="28"/>
          <w:szCs w:val="28"/>
        </w:rPr>
      </w:pPr>
      <w:r>
        <w:rPr>
          <w:rFonts w:hint="eastAsia" w:ascii="仿宋" w:hAnsi="仿宋" w:eastAsia="仿宋"/>
          <w:sz w:val="28"/>
          <w:szCs w:val="28"/>
        </w:rPr>
        <w:t>3.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2086E46E">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第二十九条</w:t>
      </w:r>
      <w:r>
        <w:rPr>
          <w:rFonts w:hint="eastAsia" w:ascii="仿宋" w:hAnsi="仿宋" w:eastAsia="仿宋"/>
          <w:sz w:val="28"/>
          <w:szCs w:val="28"/>
        </w:rPr>
        <w:t xml:space="preserve"> 对于末位同分的考生，依据以下排序原则进行录取。同分排序规则为：第一类考生按职业技能测试、语文、数学、外语的成绩顺序依次排列，第二类考生按职业技能测试、文化素质测试的成绩依次排列。</w:t>
      </w:r>
    </w:p>
    <w:p w14:paraId="76E4B197">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第三十条 </w:t>
      </w:r>
      <w:r>
        <w:rPr>
          <w:rFonts w:hint="eastAsia" w:ascii="仿宋" w:hAnsi="仿宋" w:eastAsia="仿宋"/>
          <w:sz w:val="28"/>
          <w:szCs w:val="28"/>
        </w:rPr>
        <w:t>为保障生源质量，我校提前确定录取合格标准，未合格的不予录取。合格标准是：职业技能测试成绩不低于其总分的60%。</w:t>
      </w:r>
    </w:p>
    <w:p w14:paraId="4C0D742F">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第三十一条 </w:t>
      </w:r>
      <w:r>
        <w:rPr>
          <w:rFonts w:hint="eastAsia" w:ascii="仿宋" w:hAnsi="仿宋" w:eastAsia="仿宋"/>
          <w:sz w:val="28"/>
          <w:szCs w:val="28"/>
        </w:rPr>
        <w:t>我校将通过官网（</w:t>
      </w:r>
      <w:r>
        <w:fldChar w:fldCharType="begin"/>
      </w:r>
      <w:r>
        <w:instrText xml:space="preserve"> HYPERLINK "https://www.xzyesf.cn" </w:instrText>
      </w:r>
      <w:r>
        <w:fldChar w:fldCharType="separate"/>
      </w:r>
      <w:r>
        <w:rPr>
          <w:rStyle w:val="8"/>
          <w:rFonts w:hint="eastAsia" w:ascii="仿宋" w:hAnsi="仿宋" w:eastAsia="仿宋"/>
          <w:color w:val="auto"/>
          <w:sz w:val="28"/>
          <w:szCs w:val="28"/>
        </w:rPr>
        <w:t>https://www.xzyesf.cn</w:t>
      </w:r>
      <w:r>
        <w:rPr>
          <w:rStyle w:val="8"/>
          <w:rFonts w:hint="eastAsia" w:ascii="仿宋" w:hAnsi="仿宋" w:eastAsia="仿宋"/>
          <w:color w:val="auto"/>
          <w:sz w:val="28"/>
          <w:szCs w:val="28"/>
        </w:rPr>
        <w:fldChar w:fldCharType="end"/>
      </w:r>
      <w:r>
        <w:rPr>
          <w:rFonts w:hint="eastAsia" w:ascii="仿宋" w:hAnsi="仿宋" w:eastAsia="仿宋"/>
          <w:sz w:val="28"/>
          <w:szCs w:val="28"/>
        </w:rPr>
        <w:t>）发布单招拟录取名单，拟录取考生需在我校规定时间内办理相关录取确认手续。</w:t>
      </w:r>
    </w:p>
    <w:p w14:paraId="30D34EF8">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第三十二条</w:t>
      </w:r>
      <w:r>
        <w:rPr>
          <w:rFonts w:hint="eastAsia" w:ascii="仿宋" w:hAnsi="仿宋" w:eastAsia="仿宋"/>
          <w:sz w:val="28"/>
          <w:szCs w:val="28"/>
        </w:rPr>
        <w:t xml:space="preserve"> 单招录取的学生不得参加本年度统一高考和普通高校对口招生考试。单招录取的学生不得转学，特殊情况需转专业的，按照我校《学生转专业管理办法》的规定，在本校当年单招专业范围内转换。</w:t>
      </w:r>
    </w:p>
    <w:p w14:paraId="7A1103F1">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第三十三条</w:t>
      </w:r>
      <w:r>
        <w:rPr>
          <w:rFonts w:hint="eastAsia" w:ascii="仿宋" w:hAnsi="仿宋" w:eastAsia="仿宋"/>
          <w:sz w:val="28"/>
          <w:szCs w:val="28"/>
        </w:rPr>
        <w:t xml:space="preserve"> 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7E8EA704">
      <w:pPr>
        <w:widowControl/>
        <w:shd w:val="clear" w:color="auto" w:fill="FFFFFF"/>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第三十四条 </w:t>
      </w:r>
      <w:r>
        <w:rPr>
          <w:rFonts w:hint="eastAsia" w:ascii="仿宋" w:hAnsi="仿宋" w:eastAsia="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3F1CE93E">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监督管理</w:t>
      </w:r>
    </w:p>
    <w:p w14:paraId="53319AA0">
      <w:pPr>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第三十五条 </w:t>
      </w:r>
      <w:r>
        <w:rPr>
          <w:rFonts w:hint="eastAsia" w:ascii="仿宋" w:hAnsi="仿宋" w:eastAsia="仿宋"/>
          <w:sz w:val="28"/>
          <w:szCs w:val="28"/>
        </w:rPr>
        <w:t>单招考试及录取结束后，学校按照要求及时将考试结果及拟录取考生情况在学校官网公示。</w:t>
      </w:r>
    </w:p>
    <w:p w14:paraId="274BF752">
      <w:pPr>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第三十六条 </w:t>
      </w:r>
      <w:r>
        <w:rPr>
          <w:rFonts w:hint="eastAsia" w:ascii="仿宋" w:hAnsi="仿宋" w:eastAsia="仿宋"/>
          <w:sz w:val="28"/>
          <w:szCs w:val="28"/>
        </w:rPr>
        <w:t>单招期间，确保规范有序、公平公正，在学校纪委（纪检监察部门）全程监督检查下进行单招考试、录取等工作。</w:t>
      </w:r>
    </w:p>
    <w:p w14:paraId="09155B74">
      <w:pPr>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第三十七条 </w:t>
      </w:r>
      <w:r>
        <w:rPr>
          <w:rFonts w:hint="eastAsia" w:ascii="仿宋" w:hAnsi="仿宋" w:eastAsia="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2AFFFAD9">
      <w:pPr>
        <w:spacing w:line="560" w:lineRule="exact"/>
        <w:ind w:firstLine="562" w:firstLineChars="200"/>
        <w:jc w:val="left"/>
        <w:rPr>
          <w:rFonts w:hint="eastAsia" w:ascii="仿宋" w:hAnsi="仿宋" w:eastAsia="仿宋"/>
          <w:sz w:val="28"/>
          <w:szCs w:val="28"/>
        </w:rPr>
      </w:pPr>
      <w:r>
        <w:rPr>
          <w:rFonts w:hint="eastAsia" w:ascii="仿宋" w:hAnsi="仿宋" w:eastAsia="仿宋"/>
          <w:b/>
          <w:bCs/>
          <w:sz w:val="28"/>
          <w:szCs w:val="28"/>
        </w:rPr>
        <w:t xml:space="preserve">第三十八条 </w:t>
      </w:r>
      <w:r>
        <w:rPr>
          <w:rFonts w:hint="eastAsia" w:ascii="仿宋" w:hAnsi="仿宋" w:eastAsia="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0739-5205186。</w:t>
      </w:r>
    </w:p>
    <w:p w14:paraId="3D1B731A">
      <w:pPr>
        <w:numPr>
          <w:ilvl w:val="0"/>
          <w:numId w:val="1"/>
        </w:numPr>
        <w:spacing w:before="156" w:beforeLines="50" w:after="156" w:afterLines="50" w:line="560" w:lineRule="exact"/>
        <w:ind w:firstLine="643" w:firstLineChars="200"/>
        <w:jc w:val="center"/>
        <w:rPr>
          <w:rFonts w:hint="eastAsia" w:ascii="仿宋" w:hAnsi="仿宋" w:eastAsia="仿宋"/>
          <w:b/>
          <w:bCs/>
          <w:sz w:val="32"/>
          <w:szCs w:val="32"/>
        </w:rPr>
      </w:pPr>
      <w:r>
        <w:rPr>
          <w:rFonts w:hint="eastAsia" w:ascii="仿宋" w:hAnsi="仿宋" w:eastAsia="仿宋"/>
          <w:b/>
          <w:bCs/>
          <w:sz w:val="32"/>
          <w:szCs w:val="32"/>
        </w:rPr>
        <w:t>附则</w:t>
      </w:r>
    </w:p>
    <w:p w14:paraId="3E6A01CC">
      <w:pPr>
        <w:pStyle w:val="2"/>
        <w:shd w:val="clear" w:color="auto" w:fill="FFFFFF"/>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第三十九条</w:t>
      </w:r>
      <w:r>
        <w:rPr>
          <w:rFonts w:hint="eastAsia" w:ascii="仿宋" w:hAnsi="仿宋" w:eastAsia="仿宋"/>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46FC2711">
      <w:pPr>
        <w:shd w:val="clear" w:color="auto" w:fill="FFFFFF"/>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第四十条 </w:t>
      </w:r>
      <w:r>
        <w:rPr>
          <w:rFonts w:hint="eastAsia" w:ascii="仿宋" w:hAnsi="仿宋" w:eastAsia="仿宋"/>
          <w:sz w:val="28"/>
          <w:szCs w:val="28"/>
        </w:rPr>
        <w:t>录取考生的体检标准按照教育部、卫生部、中国残疾人联合会颁布的《普通高等学校招生体检工作指导意见》及有关补充规定执行。</w:t>
      </w:r>
    </w:p>
    <w:p w14:paraId="2BD5CA94">
      <w:pPr>
        <w:shd w:val="clear" w:color="auto" w:fill="FFFFFF"/>
        <w:spacing w:line="560" w:lineRule="exact"/>
        <w:ind w:firstLine="562" w:firstLineChars="200"/>
        <w:rPr>
          <w:rFonts w:hint="eastAsia" w:ascii="仿宋" w:hAnsi="仿宋" w:eastAsia="仿宋"/>
          <w:b/>
          <w:bCs/>
          <w:sz w:val="32"/>
          <w:szCs w:val="32"/>
        </w:rPr>
      </w:pPr>
      <w:r>
        <w:rPr>
          <w:rFonts w:hint="eastAsia" w:ascii="仿宋" w:hAnsi="仿宋" w:eastAsia="仿宋"/>
          <w:b/>
          <w:bCs/>
          <w:sz w:val="28"/>
          <w:szCs w:val="28"/>
        </w:rPr>
        <w:t xml:space="preserve">第四十一条 </w:t>
      </w:r>
      <w:r>
        <w:rPr>
          <w:rFonts w:hint="eastAsia" w:ascii="仿宋" w:hAnsi="仿宋" w:eastAsia="仿宋"/>
          <w:sz w:val="28"/>
          <w:szCs w:val="28"/>
        </w:rPr>
        <w:t>录取考生的思想政治品德考核和身体健康状况检查均采用考生报考普通高校招生考试或对口招生考试时所采集的信息，学生对提供的信息真实性负责。</w:t>
      </w:r>
    </w:p>
    <w:p w14:paraId="7A18065A">
      <w:pPr>
        <w:shd w:val="clear" w:color="auto" w:fill="FFFFFF"/>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第四十二条</w:t>
      </w:r>
      <w:r>
        <w:rPr>
          <w:rFonts w:hint="eastAsia" w:ascii="仿宋" w:hAnsi="仿宋" w:eastAsia="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5B82A0CD">
      <w:pPr>
        <w:shd w:val="clear" w:color="auto" w:fill="FFFFFF"/>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第四十三条</w:t>
      </w:r>
      <w:r>
        <w:rPr>
          <w:rFonts w:hint="eastAsia" w:ascii="仿宋" w:hAnsi="仿宋" w:eastAsia="仿宋"/>
          <w:sz w:val="28"/>
          <w:szCs w:val="28"/>
        </w:rPr>
        <w:t xml:space="preserve"> 本章程通过湖南省教育考试院和学校官网向社会发布，对于各种媒体节选公布的章程内容，如理解有误，以学校公布的完整单独招生章程为准。</w:t>
      </w:r>
    </w:p>
    <w:p w14:paraId="5E972371">
      <w:pPr>
        <w:pStyle w:val="2"/>
        <w:spacing w:line="560" w:lineRule="exact"/>
        <w:ind w:firstLine="562" w:firstLineChars="200"/>
        <w:rPr>
          <w:rFonts w:hint="eastAsia" w:ascii="仿宋" w:hAnsi="仿宋" w:eastAsia="仿宋"/>
          <w:sz w:val="28"/>
          <w:szCs w:val="28"/>
        </w:rPr>
      </w:pPr>
      <w:r>
        <w:rPr>
          <w:rFonts w:hint="eastAsia" w:ascii="仿宋" w:hAnsi="仿宋" w:eastAsia="仿宋"/>
          <w:b/>
          <w:bCs/>
          <w:sz w:val="28"/>
          <w:szCs w:val="28"/>
        </w:rPr>
        <w:t xml:space="preserve">第四十四条 </w:t>
      </w:r>
      <w:r>
        <w:rPr>
          <w:rFonts w:hint="eastAsia" w:ascii="仿宋" w:hAnsi="仿宋" w:eastAsia="仿宋"/>
          <w:sz w:val="28"/>
          <w:szCs w:val="28"/>
        </w:rPr>
        <w:t>学校招生联系方式</w:t>
      </w:r>
    </w:p>
    <w:p w14:paraId="5C612DC9">
      <w:pPr>
        <w:pStyle w:val="2"/>
        <w:spacing w:line="560" w:lineRule="exact"/>
        <w:ind w:firstLine="560" w:firstLineChars="200"/>
        <w:rPr>
          <w:rFonts w:hint="eastAsia" w:ascii="仿宋" w:hAnsi="仿宋" w:eastAsia="仿宋"/>
          <w:sz w:val="28"/>
          <w:szCs w:val="28"/>
        </w:rPr>
      </w:pPr>
      <w:r>
        <w:rPr>
          <w:rFonts w:hint="eastAsia" w:ascii="仿宋" w:hAnsi="仿宋" w:eastAsia="仿宋"/>
          <w:sz w:val="28"/>
          <w:szCs w:val="28"/>
        </w:rPr>
        <w:t xml:space="preserve">通信地址：湖南省邵阳市大祥区学院南路湘中幼儿师范高等专科学校 </w:t>
      </w:r>
    </w:p>
    <w:p w14:paraId="6E07B0F5">
      <w:pPr>
        <w:pStyle w:val="2"/>
        <w:spacing w:line="560" w:lineRule="exact"/>
        <w:ind w:firstLine="560" w:firstLineChars="200"/>
        <w:rPr>
          <w:rFonts w:hint="eastAsia" w:ascii="仿宋" w:hAnsi="仿宋" w:eastAsia="仿宋"/>
          <w:sz w:val="28"/>
          <w:szCs w:val="28"/>
        </w:rPr>
      </w:pPr>
      <w:r>
        <w:rPr>
          <w:rFonts w:hint="eastAsia" w:ascii="仿宋" w:hAnsi="仿宋" w:eastAsia="仿宋"/>
          <w:sz w:val="28"/>
          <w:szCs w:val="28"/>
        </w:rPr>
        <w:t xml:space="preserve">邮政编码：422000 </w:t>
      </w:r>
    </w:p>
    <w:p w14:paraId="469746DD">
      <w:pPr>
        <w:pStyle w:val="2"/>
        <w:spacing w:line="560" w:lineRule="exact"/>
        <w:ind w:firstLine="560" w:firstLineChars="200"/>
        <w:rPr>
          <w:rFonts w:hint="eastAsia" w:ascii="仿宋" w:hAnsi="仿宋" w:eastAsia="仿宋"/>
          <w:sz w:val="28"/>
          <w:szCs w:val="28"/>
        </w:rPr>
      </w:pPr>
      <w:r>
        <w:rPr>
          <w:rFonts w:hint="eastAsia" w:ascii="仿宋" w:hAnsi="仿宋" w:eastAsia="仿宋"/>
          <w:sz w:val="28"/>
          <w:szCs w:val="28"/>
        </w:rPr>
        <w:t xml:space="preserve">招生咨询电话：0739-5205077、5205117 </w:t>
      </w:r>
    </w:p>
    <w:p w14:paraId="507A5142">
      <w:pPr>
        <w:pStyle w:val="2"/>
        <w:spacing w:line="560" w:lineRule="exact"/>
        <w:ind w:firstLine="560" w:firstLineChars="200"/>
        <w:rPr>
          <w:rFonts w:hint="eastAsia" w:ascii="仿宋" w:hAnsi="仿宋" w:eastAsia="仿宋"/>
          <w:sz w:val="28"/>
          <w:szCs w:val="28"/>
        </w:rPr>
      </w:pPr>
      <w:r>
        <w:rPr>
          <w:rFonts w:hint="eastAsia" w:ascii="仿宋" w:hAnsi="仿宋" w:eastAsia="仿宋"/>
          <w:sz w:val="28"/>
          <w:szCs w:val="28"/>
        </w:rPr>
        <w:t xml:space="preserve">招生咨询邮箱：524587502@qq.com </w:t>
      </w:r>
    </w:p>
    <w:p w14:paraId="1D731C94">
      <w:pPr>
        <w:pStyle w:val="2"/>
        <w:spacing w:line="560" w:lineRule="exact"/>
        <w:ind w:firstLine="560" w:firstLineChars="200"/>
        <w:rPr>
          <w:rFonts w:hint="eastAsia" w:ascii="仿宋" w:hAnsi="仿宋" w:eastAsia="仿宋"/>
          <w:sz w:val="28"/>
          <w:szCs w:val="28"/>
        </w:rPr>
      </w:pPr>
      <w:r>
        <w:rPr>
          <w:rFonts w:hint="eastAsia" w:ascii="仿宋" w:hAnsi="仿宋" w:eastAsia="仿宋"/>
          <w:sz w:val="28"/>
          <w:szCs w:val="28"/>
        </w:rPr>
        <w:t>招生信息发布网址：</w:t>
      </w:r>
      <w:r>
        <w:fldChar w:fldCharType="begin"/>
      </w:r>
      <w:r>
        <w:instrText xml:space="preserve"> HYPERLINK "https://www.xzyesf.cn" </w:instrText>
      </w:r>
      <w:r>
        <w:fldChar w:fldCharType="separate"/>
      </w:r>
      <w:r>
        <w:rPr>
          <w:rStyle w:val="8"/>
          <w:rFonts w:hint="eastAsia" w:ascii="仿宋" w:hAnsi="仿宋" w:eastAsia="仿宋"/>
          <w:color w:val="auto"/>
          <w:sz w:val="28"/>
          <w:szCs w:val="28"/>
        </w:rPr>
        <w:t>https://www.xzyesf.cn</w:t>
      </w:r>
      <w:r>
        <w:rPr>
          <w:rStyle w:val="8"/>
          <w:rFonts w:hint="eastAsia" w:ascii="仿宋" w:hAnsi="仿宋" w:eastAsia="仿宋"/>
          <w:color w:val="auto"/>
          <w:sz w:val="28"/>
          <w:szCs w:val="28"/>
        </w:rPr>
        <w:fldChar w:fldCharType="end"/>
      </w:r>
    </w:p>
    <w:p w14:paraId="36A208A5">
      <w:pPr>
        <w:pStyle w:val="5"/>
        <w:shd w:val="clear" w:color="auto" w:fill="FFFFFF"/>
        <w:spacing w:before="0" w:beforeAutospacing="0" w:after="0" w:afterAutospacing="0" w:line="560" w:lineRule="exact"/>
        <w:ind w:firstLine="560" w:firstLineChars="200"/>
        <w:rPr>
          <w:rFonts w:hint="eastAsia" w:ascii="仿宋" w:hAnsi="仿宋" w:eastAsia="仿宋"/>
          <w:kern w:val="2"/>
          <w:sz w:val="28"/>
          <w:szCs w:val="28"/>
        </w:rPr>
      </w:pPr>
      <w:r>
        <w:rPr>
          <w:rFonts w:hint="eastAsia" w:ascii="仿宋" w:hAnsi="仿宋" w:eastAsia="仿宋"/>
          <w:kern w:val="2"/>
          <w:sz w:val="28"/>
          <w:szCs w:val="28"/>
        </w:rPr>
        <w:t>监督投诉电话：0739-5205186</w:t>
      </w:r>
    </w:p>
    <w:p w14:paraId="5E64D7C8">
      <w:pPr>
        <w:shd w:val="clear" w:color="auto" w:fill="FFFFFF"/>
        <w:spacing w:line="560" w:lineRule="exact"/>
        <w:ind w:firstLine="562" w:firstLineChars="200"/>
        <w:rPr>
          <w:rFonts w:hint="eastAsia" w:ascii="仿宋" w:hAnsi="仿宋" w:eastAsia="仿宋"/>
        </w:rPr>
      </w:pPr>
      <w:r>
        <w:rPr>
          <w:rFonts w:hint="eastAsia" w:ascii="仿宋" w:hAnsi="仿宋" w:eastAsia="仿宋"/>
          <w:b/>
          <w:bCs/>
          <w:sz w:val="28"/>
          <w:szCs w:val="28"/>
        </w:rPr>
        <w:t xml:space="preserve">第四十五条 </w:t>
      </w:r>
      <w:r>
        <w:rPr>
          <w:rFonts w:hint="eastAsia" w:ascii="仿宋" w:hAnsi="仿宋" w:eastAsia="仿宋"/>
          <w:sz w:val="28"/>
          <w:szCs w:val="28"/>
        </w:rPr>
        <w:t>本章程适用于我校2025年湖南省单招。其解释权属于 湘中幼儿师范高等专科学校。</w:t>
      </w:r>
      <w:r>
        <w:rPr>
          <w:rFonts w:hint="eastAsia" w:ascii="仿宋" w:hAnsi="仿宋" w:eastAsia="仿宋"/>
          <w:sz w:val="28"/>
          <w:szCs w:val="28"/>
          <w:shd w:val="clear" w:color="auto" w:fill="FFFFFF"/>
        </w:rPr>
        <w:t>如遇教育部、湖南省教育厅相关招生政策调整，以公布的最新政策为准。</w:t>
      </w:r>
    </w:p>
    <w:p w14:paraId="0DA25F78">
      <w:pPr>
        <w:ind w:firstLine="420" w:firstLineChars="200"/>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汉仪细圆B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804B5"/>
    <w:multiLevelType w:val="multilevel"/>
    <w:tmpl w:val="5FE804B5"/>
    <w:lvl w:ilvl="0" w:tentative="0">
      <w:start w:val="1"/>
      <w:numFmt w:val="chineseCounting"/>
      <w:suff w:val="space"/>
      <w:lvlText w:val="第%1章"/>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Y1NTJiNzBhMDBjNWM2ZWFiYjNlMmI5ZjA5MGQxNWMifQ=="/>
    <w:docVar w:name="KSO_WPS_MARK_KEY" w:val="59d2ac16-bd76-4c5e-92fa-94de3876627d"/>
  </w:docVars>
  <w:rsids>
    <w:rsidRoot w:val="002F797A"/>
    <w:rsid w:val="00083508"/>
    <w:rsid w:val="000D3C4A"/>
    <w:rsid w:val="001C62BD"/>
    <w:rsid w:val="001F2A4D"/>
    <w:rsid w:val="002128FA"/>
    <w:rsid w:val="00240177"/>
    <w:rsid w:val="00274004"/>
    <w:rsid w:val="002F797A"/>
    <w:rsid w:val="00300250"/>
    <w:rsid w:val="003C14A6"/>
    <w:rsid w:val="003E09FD"/>
    <w:rsid w:val="003E4D3D"/>
    <w:rsid w:val="0044298D"/>
    <w:rsid w:val="004A085B"/>
    <w:rsid w:val="00526F9A"/>
    <w:rsid w:val="00657E04"/>
    <w:rsid w:val="0077234E"/>
    <w:rsid w:val="008156B7"/>
    <w:rsid w:val="008674F2"/>
    <w:rsid w:val="008A0803"/>
    <w:rsid w:val="008E207C"/>
    <w:rsid w:val="00936593"/>
    <w:rsid w:val="00971264"/>
    <w:rsid w:val="009800E9"/>
    <w:rsid w:val="009F4694"/>
    <w:rsid w:val="00B359B4"/>
    <w:rsid w:val="00B44A25"/>
    <w:rsid w:val="00B64A49"/>
    <w:rsid w:val="00CA6A66"/>
    <w:rsid w:val="00CE33B3"/>
    <w:rsid w:val="00CE39F9"/>
    <w:rsid w:val="00D511A6"/>
    <w:rsid w:val="00D633A1"/>
    <w:rsid w:val="00DB797A"/>
    <w:rsid w:val="00DC09B3"/>
    <w:rsid w:val="00DE6E9D"/>
    <w:rsid w:val="00DF6392"/>
    <w:rsid w:val="00EB01A2"/>
    <w:rsid w:val="00F50182"/>
    <w:rsid w:val="01B60951"/>
    <w:rsid w:val="04AA7FF4"/>
    <w:rsid w:val="0BE87CBD"/>
    <w:rsid w:val="143D3F87"/>
    <w:rsid w:val="1C161538"/>
    <w:rsid w:val="1DB934FB"/>
    <w:rsid w:val="220615C2"/>
    <w:rsid w:val="224D207D"/>
    <w:rsid w:val="2C792952"/>
    <w:rsid w:val="2DBA2F0B"/>
    <w:rsid w:val="49771C3D"/>
    <w:rsid w:val="4D5775DB"/>
    <w:rsid w:val="4E2203E2"/>
    <w:rsid w:val="4EAF65C9"/>
    <w:rsid w:val="55DB6669"/>
    <w:rsid w:val="64751FB2"/>
    <w:rsid w:val="698A7733"/>
    <w:rsid w:val="70851736"/>
    <w:rsid w:val="762D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Indent"/>
    <w:basedOn w:val="1"/>
    <w:unhideWhenUsed/>
    <w:uiPriority w:val="99"/>
    <w:pPr>
      <w:ind w:firstLine="680"/>
    </w:pPr>
    <w:rPr>
      <w:rFonts w:ascii="Calibri" w:hAnsi="Calibri"/>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customStyle="1" w:styleId="8">
    <w:name w:val="15"/>
    <w:basedOn w:val="7"/>
    <w:qFormat/>
    <w:uiPriority w:val="0"/>
    <w:rPr>
      <w:rFonts w:hint="default" w:ascii="Times New Roman" w:hAnsi="Times New Roman" w:cs="Times New Roman"/>
      <w:color w:val="0000FF"/>
      <w:u w:val="single"/>
    </w:rPr>
  </w:style>
  <w:style w:type="character" w:customStyle="1" w:styleId="9">
    <w:name w:val="页眉 字符"/>
    <w:basedOn w:val="7"/>
    <w:link w:val="4"/>
    <w:qFormat/>
    <w:uiPriority w:val="99"/>
    <w:rPr>
      <w:rFonts w:ascii="Times New Roman" w:hAnsi="Times New Roman" w:eastAsia="宋体" w:cs="Times New Roman"/>
      <w:sz w:val="18"/>
      <w:szCs w:val="18"/>
    </w:rPr>
  </w:style>
  <w:style w:type="character" w:customStyle="1" w:styleId="10">
    <w:name w:val="页脚 字符"/>
    <w:basedOn w:val="7"/>
    <w:link w:val="3"/>
    <w:qFormat/>
    <w:uiPriority w:val="99"/>
    <w:rPr>
      <w:rFonts w:ascii="Times New Roman" w:hAnsi="Times New Roman" w:eastAsia="宋体"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6324</Words>
  <Characters>6762</Characters>
  <Lines>50</Lines>
  <Paragraphs>14</Paragraphs>
  <TotalTime>5</TotalTime>
  <ScaleCrop>false</ScaleCrop>
  <LinksUpToDate>false</LinksUpToDate>
  <CharactersWithSpaces>6818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2024-12-23T00:48:00Z</dcterms:created>
  <dc:creator>淑君 周</dc:creator>
  <cp:lastModifiedBy>李甜甜的嘤嘤怪</cp:lastModifiedBy>
  <cp:lastPrinted>2025-01-22T00:53:00Z</cp:lastPrinted>
  <dcterms:modified xsi:type="dcterms:W3CDTF">2025-01-24T08:37:42Z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D7A505D3DB2A4CA9ABDF2B6DC05930C3</vt:lpwstr>
  </property>
  <property fmtid="{D5CDD505-2E9C-101B-9397-08002B2CF9AE}" pid="4" name="KSOTemplateDocerSaveRecord">
    <vt:lpwstr>eyJoZGlkIjoiOTkyMGI3YjlkYmQxZGUyYzk2MjdhNjFkODUwMTJjM2EiLCJ1c2VySWQiOiI2OTY4NTc2MzUifQ==</vt:lpwstr>
  </property>
</Properties>
</file>