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A29DD3">
      <w:pPr>
        <w:spacing w:before="156" w:beforeLines="50" w:after="156" w:afterLines="50" w:line="500" w:lineRule="exact"/>
        <w:jc w:val="center"/>
        <w:rPr>
          <w:rFonts w:hint="eastAsia" w:ascii="华文中宋" w:hAnsi="华文中宋" w:eastAsia="华文中宋" w:cs="华文中宋"/>
          <w:b/>
          <w:bCs/>
          <w:color w:val="auto"/>
          <w:sz w:val="44"/>
          <w:szCs w:val="44"/>
          <w:u w:val="none"/>
          <w:lang w:val="en-US" w:eastAsia="zh-CN"/>
        </w:rPr>
      </w:pPr>
    </w:p>
    <w:p w14:paraId="32915011">
      <w:pPr>
        <w:spacing w:before="156" w:beforeLines="50" w:after="156" w:afterLines="50" w:line="500" w:lineRule="exact"/>
        <w:jc w:val="center"/>
        <w:rPr>
          <w:rFonts w:hint="eastAsia" w:ascii="华文中宋" w:hAnsi="华文中宋" w:eastAsia="华文中宋" w:cs="华文中宋"/>
          <w:b/>
          <w:bCs/>
          <w:color w:val="auto"/>
          <w:sz w:val="44"/>
          <w:szCs w:val="44"/>
          <w:u w:val="none"/>
          <w:lang w:val="en-US" w:eastAsia="zh-CN"/>
        </w:rPr>
      </w:pPr>
    </w:p>
    <w:p w14:paraId="46511EE1">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华文中宋" w:hAnsi="华文中宋" w:eastAsia="华文中宋" w:cs="华文中宋"/>
          <w:b/>
          <w:bCs/>
          <w:color w:val="auto"/>
          <w:sz w:val="44"/>
          <w:szCs w:val="44"/>
          <w:u w:val="none"/>
          <w:lang w:val="en-US" w:eastAsia="zh-CN"/>
        </w:rPr>
      </w:pPr>
      <w:r>
        <w:rPr>
          <w:rFonts w:hint="eastAsia" w:ascii="华文中宋" w:hAnsi="华文中宋" w:eastAsia="华文中宋" w:cs="华文中宋"/>
          <w:b/>
          <w:bCs/>
          <w:color w:val="auto"/>
          <w:sz w:val="44"/>
          <w:szCs w:val="44"/>
          <w:u w:val="none"/>
          <w:lang w:val="en-US" w:eastAsia="zh-CN"/>
        </w:rPr>
        <w:t>湘潭医卫职业技术学院</w:t>
      </w:r>
    </w:p>
    <w:p w14:paraId="6AA7B502">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华文中宋" w:hAnsi="华文中宋" w:eastAsia="华文中宋" w:cs="华文中宋"/>
          <w:b/>
          <w:bCs/>
          <w:color w:val="auto"/>
          <w:sz w:val="44"/>
          <w:szCs w:val="44"/>
          <w:u w:val="none"/>
        </w:rPr>
      </w:pPr>
      <w:r>
        <w:rPr>
          <w:rFonts w:hint="eastAsia" w:ascii="华文中宋" w:hAnsi="华文中宋" w:eastAsia="华文中宋" w:cs="华文中宋"/>
          <w:b/>
          <w:bCs/>
          <w:color w:val="auto"/>
          <w:sz w:val="44"/>
          <w:szCs w:val="44"/>
          <w:u w:val="none"/>
          <w:lang w:eastAsia="zh-CN"/>
        </w:rPr>
        <w:t>2025</w:t>
      </w:r>
      <w:r>
        <w:rPr>
          <w:rFonts w:hint="eastAsia" w:ascii="华文中宋" w:hAnsi="华文中宋" w:eastAsia="华文中宋" w:cs="华文中宋"/>
          <w:b/>
          <w:bCs/>
          <w:color w:val="auto"/>
          <w:sz w:val="44"/>
          <w:szCs w:val="44"/>
          <w:u w:val="none"/>
        </w:rPr>
        <w:t>年</w:t>
      </w:r>
      <w:r>
        <w:rPr>
          <w:rFonts w:hint="eastAsia" w:ascii="华文中宋" w:hAnsi="华文中宋" w:eastAsia="华文中宋" w:cs="华文中宋"/>
          <w:b/>
          <w:bCs/>
          <w:color w:val="auto"/>
          <w:sz w:val="44"/>
          <w:szCs w:val="44"/>
          <w:u w:val="none"/>
          <w:lang w:val="en-US" w:eastAsia="zh-CN"/>
        </w:rPr>
        <w:t>单独招生章</w:t>
      </w:r>
      <w:r>
        <w:rPr>
          <w:rFonts w:hint="eastAsia" w:ascii="华文中宋" w:hAnsi="华文中宋" w:eastAsia="华文中宋" w:cs="华文中宋"/>
          <w:b/>
          <w:bCs/>
          <w:color w:val="auto"/>
          <w:sz w:val="44"/>
          <w:szCs w:val="44"/>
          <w:u w:val="none"/>
        </w:rPr>
        <w:t>程</w:t>
      </w:r>
    </w:p>
    <w:p w14:paraId="627461E9">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华文中宋" w:hAnsi="华文中宋" w:eastAsia="华文中宋" w:cs="华文中宋"/>
          <w:b/>
          <w:bCs/>
          <w:color w:val="auto"/>
          <w:sz w:val="44"/>
          <w:szCs w:val="44"/>
          <w:u w:val="none"/>
        </w:rPr>
      </w:pPr>
    </w:p>
    <w:p w14:paraId="15B61DBD">
      <w:pPr>
        <w:pStyle w:val="11"/>
        <w:bidi w:val="0"/>
        <w:rPr>
          <w:rFonts w:hint="eastAsia"/>
          <w:color w:val="auto"/>
        </w:rPr>
      </w:pPr>
    </w:p>
    <w:p w14:paraId="6FAE8D5B">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b/>
          <w:bCs/>
          <w:color w:val="auto"/>
          <w:sz w:val="36"/>
          <w:szCs w:val="36"/>
          <w:u w:val="none"/>
        </w:rPr>
      </w:pPr>
      <w:r>
        <w:rPr>
          <w:rFonts w:hint="eastAsia" w:ascii="黑体" w:hAnsi="黑体" w:eastAsia="黑体" w:cs="黑体"/>
          <w:b/>
          <w:bCs/>
          <w:color w:val="auto"/>
          <w:sz w:val="36"/>
          <w:szCs w:val="36"/>
          <w:u w:val="none"/>
          <w:lang w:eastAsia="zh-CN"/>
        </w:rPr>
        <w:t>第一章</w:t>
      </w:r>
      <w:r>
        <w:rPr>
          <w:rFonts w:hint="eastAsia" w:ascii="黑体" w:hAnsi="黑体" w:eastAsia="黑体" w:cs="黑体"/>
          <w:b/>
          <w:bCs/>
          <w:color w:val="auto"/>
          <w:sz w:val="36"/>
          <w:szCs w:val="36"/>
          <w:u w:val="none"/>
          <w:lang w:val="en-US" w:eastAsia="zh-CN"/>
        </w:rPr>
        <w:t xml:space="preserve">  </w:t>
      </w:r>
      <w:r>
        <w:rPr>
          <w:rFonts w:hint="eastAsia" w:ascii="黑体" w:hAnsi="黑体" w:eastAsia="黑体" w:cs="黑体"/>
          <w:b/>
          <w:bCs/>
          <w:color w:val="auto"/>
          <w:sz w:val="36"/>
          <w:szCs w:val="36"/>
          <w:u w:val="none"/>
        </w:rPr>
        <w:t>总 则</w:t>
      </w:r>
    </w:p>
    <w:p w14:paraId="0B729141">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第一条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根据《中华人民共和国教育法》《中华人民共和国高等教育法》等法律法规及教育部有关规定，</w:t>
      </w:r>
      <w:r>
        <w:rPr>
          <w:rFonts w:hint="eastAsia" w:ascii="仿宋" w:hAnsi="仿宋" w:eastAsia="仿宋" w:cs="仿宋"/>
          <w:color w:val="auto"/>
          <w:sz w:val="32"/>
          <w:szCs w:val="32"/>
          <w:u w:val="none"/>
          <w:lang w:val="en-US" w:eastAsia="zh-CN"/>
        </w:rPr>
        <w:t>依据</w:t>
      </w:r>
      <w:r>
        <w:rPr>
          <w:rFonts w:hint="eastAsia" w:ascii="仿宋" w:hAnsi="仿宋" w:eastAsia="仿宋" w:cs="仿宋"/>
          <w:color w:val="auto"/>
          <w:sz w:val="32"/>
          <w:szCs w:val="32"/>
          <w:u w:val="none"/>
        </w:rPr>
        <w:t>湖南省教育厅《关于做好</w:t>
      </w:r>
      <w:r>
        <w:rPr>
          <w:rFonts w:hint="eastAsia" w:ascii="仿宋" w:hAnsi="仿宋" w:eastAsia="仿宋" w:cs="仿宋"/>
          <w:color w:val="auto"/>
          <w:sz w:val="32"/>
          <w:szCs w:val="32"/>
          <w:u w:val="none"/>
          <w:lang w:val="en-US" w:eastAsia="zh-CN"/>
        </w:rPr>
        <w:t>湖南省</w:t>
      </w:r>
      <w:r>
        <w:rPr>
          <w:rFonts w:hint="eastAsia" w:ascii="仿宋" w:hAnsi="仿宋" w:eastAsia="仿宋" w:cs="仿宋"/>
          <w:color w:val="auto"/>
          <w:sz w:val="32"/>
          <w:szCs w:val="32"/>
          <w:u w:val="none"/>
          <w:lang w:eastAsia="zh-CN"/>
        </w:rPr>
        <w:t>2025</w:t>
      </w:r>
      <w:r>
        <w:rPr>
          <w:rFonts w:hint="eastAsia" w:ascii="仿宋" w:hAnsi="仿宋" w:eastAsia="仿宋" w:cs="仿宋"/>
          <w:color w:val="auto"/>
          <w:sz w:val="32"/>
          <w:szCs w:val="32"/>
          <w:u w:val="none"/>
        </w:rPr>
        <w:t>年高职</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高专</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院校单独招生工作的通知》</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湘教通〔</w:t>
      </w:r>
      <w:r>
        <w:rPr>
          <w:rFonts w:hint="default" w:ascii="仿宋" w:hAnsi="仿宋" w:eastAsia="仿宋" w:cs="仿宋"/>
          <w:color w:val="auto"/>
          <w:sz w:val="32"/>
          <w:szCs w:val="32"/>
          <w:u w:val="none"/>
          <w:lang w:val="en-US" w:eastAsia="zh-CN"/>
        </w:rPr>
        <w:t>2024</w:t>
      </w:r>
      <w:r>
        <w:rPr>
          <w:rFonts w:hint="eastAsia" w:ascii="仿宋" w:hAnsi="仿宋" w:eastAsia="仿宋" w:cs="仿宋"/>
          <w:color w:val="auto"/>
          <w:sz w:val="32"/>
          <w:szCs w:val="32"/>
          <w:u w:val="none"/>
          <w:lang w:val="en-US" w:eastAsia="zh-CN"/>
        </w:rPr>
        <w:t>〕</w:t>
      </w:r>
      <w:r>
        <w:rPr>
          <w:rFonts w:hint="default" w:ascii="仿宋" w:hAnsi="仿宋" w:eastAsia="仿宋" w:cs="仿宋"/>
          <w:color w:val="auto"/>
          <w:sz w:val="32"/>
          <w:szCs w:val="32"/>
          <w:u w:val="none"/>
          <w:lang w:val="en-US" w:eastAsia="zh-CN"/>
        </w:rPr>
        <w:t xml:space="preserve">271 </w:t>
      </w:r>
      <w:r>
        <w:rPr>
          <w:rFonts w:hint="eastAsia" w:ascii="仿宋" w:hAnsi="仿宋" w:eastAsia="仿宋" w:cs="仿宋"/>
          <w:color w:val="auto"/>
          <w:sz w:val="32"/>
          <w:szCs w:val="32"/>
          <w:u w:val="none"/>
          <w:lang w:val="en-US" w:eastAsia="zh-CN"/>
        </w:rPr>
        <w:t>号</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有关要求</w:t>
      </w:r>
      <w:r>
        <w:rPr>
          <w:rFonts w:hint="eastAsia" w:ascii="仿宋" w:hAnsi="仿宋" w:eastAsia="仿宋" w:cs="仿宋"/>
          <w:color w:val="auto"/>
          <w:sz w:val="32"/>
          <w:szCs w:val="32"/>
          <w:u w:val="none"/>
        </w:rPr>
        <w:t>，结合</w:t>
      </w:r>
      <w:r>
        <w:rPr>
          <w:rFonts w:hint="eastAsia" w:ascii="仿宋" w:hAnsi="仿宋" w:eastAsia="仿宋" w:cs="仿宋"/>
          <w:color w:val="auto"/>
          <w:sz w:val="32"/>
          <w:szCs w:val="32"/>
          <w:u w:val="none"/>
          <w:lang w:eastAsia="zh-CN"/>
        </w:rPr>
        <w:t>学校</w:t>
      </w:r>
      <w:r>
        <w:rPr>
          <w:rFonts w:hint="eastAsia" w:ascii="仿宋" w:hAnsi="仿宋" w:eastAsia="仿宋" w:cs="仿宋"/>
          <w:color w:val="auto"/>
          <w:sz w:val="32"/>
          <w:szCs w:val="32"/>
          <w:u w:val="none"/>
        </w:rPr>
        <w:t>单独招生工作</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以下简称单招</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实际，特制定本章程。</w:t>
      </w:r>
    </w:p>
    <w:p w14:paraId="2010035C">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第二条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学校</w:t>
      </w:r>
      <w:r>
        <w:rPr>
          <w:rFonts w:hint="eastAsia" w:ascii="仿宋" w:hAnsi="仿宋" w:eastAsia="仿宋" w:cs="仿宋"/>
          <w:color w:val="auto"/>
          <w:sz w:val="32"/>
          <w:szCs w:val="32"/>
          <w:u w:val="none"/>
          <w:lang w:val="en-US" w:eastAsia="zh-CN"/>
        </w:rPr>
        <w:t>全</w:t>
      </w:r>
      <w:r>
        <w:rPr>
          <w:rFonts w:hint="eastAsia" w:ascii="仿宋" w:hAnsi="仿宋" w:eastAsia="仿宋" w:cs="仿宋"/>
          <w:color w:val="auto"/>
          <w:sz w:val="32"/>
          <w:szCs w:val="32"/>
          <w:u w:val="none"/>
        </w:rPr>
        <w:t>称</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湘潭医卫职业技术学院</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办学地点</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eastAsia="zh-CN"/>
        </w:rPr>
        <w:t>学</w:t>
      </w:r>
      <w:r>
        <w:rPr>
          <w:rFonts w:hint="eastAsia" w:ascii="仿宋" w:hAnsi="仿宋" w:eastAsia="仿宋" w:cs="仿宋"/>
          <w:color w:val="auto"/>
          <w:sz w:val="32"/>
          <w:szCs w:val="32"/>
          <w:u w:val="none"/>
        </w:rPr>
        <w:t>校本部位于湖南省湘潭市岳塘区双拥中路，河西校区位于湖南省湘潭市雨湖区和平路54号</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主管部门：湘潭市人民政府（主办）、湖南省教育厅（业务管理）；办学层次：高职</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专科</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湖南省院校代号：4369；办学类型：公办。</w:t>
      </w:r>
    </w:p>
    <w:p w14:paraId="44321B71">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eastAsia="zh-CN"/>
        </w:rPr>
        <w:t>第三条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颁发学历证书的学校名称</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湘潭医卫职业技术学院</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证书种类</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普通高等学校全日制专科毕业证书</w:t>
      </w:r>
      <w:r>
        <w:rPr>
          <w:rFonts w:hint="eastAsia" w:ascii="仿宋" w:hAnsi="仿宋" w:eastAsia="仿宋" w:cs="仿宋"/>
          <w:color w:val="auto"/>
          <w:sz w:val="32"/>
          <w:szCs w:val="32"/>
          <w:u w:val="none"/>
          <w:lang w:eastAsia="zh-CN"/>
        </w:rPr>
        <w:t>。</w:t>
      </w:r>
    </w:p>
    <w:p w14:paraId="443DEC67">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第四条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lang w:eastAsia="zh-CN"/>
        </w:rPr>
        <w:t>学校</w:t>
      </w:r>
      <w:r>
        <w:rPr>
          <w:rFonts w:hint="eastAsia" w:ascii="仿宋" w:hAnsi="仿宋" w:eastAsia="仿宋" w:cs="仿宋"/>
          <w:color w:val="auto"/>
          <w:sz w:val="32"/>
          <w:szCs w:val="32"/>
          <w:u w:val="none"/>
          <w:lang w:val="en-US" w:eastAsia="zh-CN"/>
        </w:rPr>
        <w:t>单招</w:t>
      </w:r>
      <w:r>
        <w:rPr>
          <w:rFonts w:hint="eastAsia" w:ascii="仿宋" w:hAnsi="仿宋" w:eastAsia="仿宋" w:cs="仿宋"/>
          <w:color w:val="auto"/>
          <w:sz w:val="32"/>
          <w:szCs w:val="32"/>
          <w:u w:val="none"/>
        </w:rPr>
        <w:t>工作遵循“公平竞争、公</w:t>
      </w:r>
      <w:r>
        <w:rPr>
          <w:rFonts w:hint="eastAsia" w:ascii="仿宋" w:hAnsi="仿宋" w:eastAsia="仿宋" w:cs="仿宋"/>
          <w:color w:val="auto"/>
          <w:sz w:val="32"/>
          <w:szCs w:val="32"/>
          <w:u w:val="none"/>
          <w:lang w:val="en-US" w:eastAsia="zh-CN"/>
        </w:rPr>
        <w:t>正</w:t>
      </w:r>
      <w:r>
        <w:rPr>
          <w:rFonts w:hint="eastAsia" w:ascii="仿宋" w:hAnsi="仿宋" w:eastAsia="仿宋" w:cs="仿宋"/>
          <w:color w:val="auto"/>
          <w:sz w:val="32"/>
          <w:szCs w:val="32"/>
          <w:u w:val="none"/>
        </w:rPr>
        <w:t>选拔、公开</w:t>
      </w:r>
      <w:r>
        <w:rPr>
          <w:rFonts w:hint="eastAsia" w:ascii="仿宋" w:hAnsi="仿宋" w:eastAsia="仿宋" w:cs="仿宋"/>
          <w:color w:val="auto"/>
          <w:sz w:val="32"/>
          <w:szCs w:val="32"/>
          <w:u w:val="none"/>
          <w:lang w:val="en-US" w:eastAsia="zh-CN"/>
        </w:rPr>
        <w:t>透明</w:t>
      </w:r>
      <w:r>
        <w:rPr>
          <w:rFonts w:hint="eastAsia" w:ascii="仿宋" w:hAnsi="仿宋" w:eastAsia="仿宋" w:cs="仿宋"/>
          <w:color w:val="auto"/>
          <w:sz w:val="32"/>
          <w:szCs w:val="32"/>
          <w:u w:val="none"/>
        </w:rPr>
        <w:t>”的原则</w:t>
      </w:r>
      <w:r>
        <w:rPr>
          <w:rFonts w:hint="eastAsia" w:ascii="仿宋" w:hAnsi="仿宋" w:eastAsia="仿宋" w:cs="仿宋"/>
          <w:color w:val="auto"/>
          <w:sz w:val="32"/>
          <w:szCs w:val="32"/>
          <w:u w:val="none"/>
          <w:lang w:eastAsia="zh-CN"/>
        </w:rPr>
        <w:t>，坚决执行招生政策规定和纪律要求，严格</w:t>
      </w:r>
      <w:r>
        <w:rPr>
          <w:rFonts w:hint="eastAsia" w:ascii="仿宋" w:hAnsi="仿宋" w:eastAsia="仿宋" w:cs="仿宋"/>
          <w:color w:val="auto"/>
          <w:sz w:val="32"/>
          <w:szCs w:val="32"/>
          <w:u w:val="none"/>
          <w:lang w:val="en-US" w:eastAsia="zh-CN"/>
        </w:rPr>
        <w:t>实施考试招生“阳光工程”</w:t>
      </w:r>
      <w:r>
        <w:rPr>
          <w:rFonts w:hint="eastAsia" w:ascii="仿宋" w:hAnsi="仿宋" w:eastAsia="仿宋" w:cs="仿宋"/>
          <w:color w:val="auto"/>
          <w:sz w:val="32"/>
          <w:szCs w:val="32"/>
          <w:u w:val="none"/>
        </w:rPr>
        <w:t>。</w:t>
      </w:r>
    </w:p>
    <w:p w14:paraId="076C29E5">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eastAsia="zh-CN"/>
        </w:rPr>
        <w:t>第五条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lang w:eastAsia="zh-CN"/>
        </w:rPr>
        <w:t>学校简介：学校办学历史溯源于1915年美国基督教长老会创办的广德高级护士职业学校，现开设了临床医学、口腔医学、中医学、预防医学、护理等</w:t>
      </w:r>
      <w:r>
        <w:rPr>
          <w:rFonts w:hint="eastAsia" w:ascii="仿宋" w:hAnsi="仿宋" w:eastAsia="仿宋" w:cs="仿宋"/>
          <w:color w:val="auto"/>
          <w:sz w:val="32"/>
          <w:szCs w:val="32"/>
          <w:u w:val="none"/>
          <w:lang w:val="en-US" w:eastAsia="zh-CN"/>
        </w:rPr>
        <w:t>19</w:t>
      </w:r>
      <w:r>
        <w:rPr>
          <w:rFonts w:hint="eastAsia" w:ascii="仿宋" w:hAnsi="仿宋" w:eastAsia="仿宋" w:cs="仿宋"/>
          <w:color w:val="auto"/>
          <w:sz w:val="32"/>
          <w:szCs w:val="32"/>
          <w:u w:val="none"/>
          <w:lang w:eastAsia="zh-CN"/>
        </w:rPr>
        <w:t>个专业，在校学生</w:t>
      </w:r>
      <w:r>
        <w:rPr>
          <w:rFonts w:hint="eastAsia" w:ascii="仿宋" w:hAnsi="仿宋" w:eastAsia="仿宋" w:cs="仿宋"/>
          <w:color w:val="auto"/>
          <w:sz w:val="32"/>
          <w:szCs w:val="32"/>
          <w:u w:val="none"/>
          <w:lang w:val="en-US" w:eastAsia="zh-CN"/>
        </w:rPr>
        <w:t>14000余</w:t>
      </w:r>
      <w:r>
        <w:rPr>
          <w:rFonts w:hint="eastAsia" w:ascii="仿宋" w:hAnsi="仿宋" w:eastAsia="仿宋" w:cs="仿宋"/>
          <w:color w:val="auto"/>
          <w:sz w:val="32"/>
          <w:szCs w:val="32"/>
          <w:u w:val="none"/>
          <w:lang w:eastAsia="zh-CN"/>
        </w:rPr>
        <w:t>人，在职在编教职工1017人，其中教授、主任医师等正高职称52人，副教授及其他副高级职称教师270人，“双师型”教师</w:t>
      </w:r>
      <w:r>
        <w:rPr>
          <w:rFonts w:hint="eastAsia" w:ascii="仿宋" w:hAnsi="仿宋" w:eastAsia="仿宋" w:cs="仿宋"/>
          <w:color w:val="auto"/>
          <w:sz w:val="32"/>
          <w:szCs w:val="32"/>
          <w:u w:val="none"/>
          <w:lang w:val="en-US" w:eastAsia="zh-CN"/>
        </w:rPr>
        <w:t>300</w:t>
      </w:r>
      <w:r>
        <w:rPr>
          <w:rFonts w:hint="eastAsia" w:ascii="仿宋" w:hAnsi="仿宋" w:eastAsia="仿宋" w:cs="仿宋"/>
          <w:color w:val="auto"/>
          <w:sz w:val="32"/>
          <w:szCs w:val="32"/>
          <w:u w:val="none"/>
          <w:lang w:eastAsia="zh-CN"/>
        </w:rPr>
        <w:t>余人。学校是</w:t>
      </w:r>
      <w:r>
        <w:rPr>
          <w:rFonts w:hint="eastAsia" w:ascii="仿宋" w:hAnsi="仿宋" w:eastAsia="仿宋" w:cs="仿宋"/>
          <w:color w:val="auto"/>
          <w:sz w:val="32"/>
          <w:szCs w:val="32"/>
          <w:u w:val="none"/>
        </w:rPr>
        <w:t>湖南省</w:t>
      </w:r>
      <w:r>
        <w:rPr>
          <w:rFonts w:hint="eastAsia" w:ascii="仿宋" w:hAnsi="仿宋" w:eastAsia="仿宋" w:cs="仿宋"/>
          <w:color w:val="auto"/>
          <w:sz w:val="32"/>
          <w:szCs w:val="32"/>
          <w:u w:val="none"/>
          <w:lang w:eastAsia="zh-CN"/>
        </w:rPr>
        <w:t>“楚怡”</w:t>
      </w:r>
      <w:r>
        <w:rPr>
          <w:rFonts w:hint="eastAsia" w:ascii="仿宋" w:hAnsi="仿宋" w:eastAsia="仿宋" w:cs="仿宋"/>
          <w:color w:val="auto"/>
          <w:sz w:val="32"/>
          <w:szCs w:val="32"/>
          <w:u w:val="none"/>
        </w:rPr>
        <w:t>高水平职业院校和高水平专业群建设学校</w:t>
      </w:r>
      <w:r>
        <w:rPr>
          <w:rFonts w:hint="eastAsia" w:ascii="仿宋" w:hAnsi="仿宋" w:eastAsia="仿宋" w:cs="仿宋"/>
          <w:color w:val="auto"/>
          <w:sz w:val="32"/>
          <w:szCs w:val="32"/>
          <w:u w:val="none"/>
          <w:lang w:eastAsia="zh-CN"/>
        </w:rPr>
        <w:t>、湖南省“楚怡工匠计划”本科层次人才培养试点学校</w:t>
      </w:r>
      <w:r>
        <w:rPr>
          <w:rFonts w:hint="eastAsia" w:ascii="仿宋" w:hAnsi="仿宋" w:eastAsia="仿宋" w:cs="仿宋"/>
          <w:color w:val="auto"/>
          <w:sz w:val="32"/>
          <w:szCs w:val="32"/>
          <w:u w:val="none"/>
        </w:rPr>
        <w:t>，是湖南省现代大学制度建设先进高校、</w:t>
      </w:r>
      <w:r>
        <w:rPr>
          <w:rFonts w:hint="eastAsia" w:ascii="仿宋" w:hAnsi="仿宋" w:eastAsia="仿宋" w:cs="仿宋"/>
          <w:color w:val="auto"/>
          <w:sz w:val="32"/>
          <w:szCs w:val="32"/>
          <w:u w:val="none"/>
          <w:lang w:eastAsia="zh-CN"/>
        </w:rPr>
        <w:t>湖南省</w:t>
      </w:r>
      <w:r>
        <w:rPr>
          <w:rFonts w:hint="eastAsia" w:ascii="仿宋" w:hAnsi="仿宋" w:eastAsia="仿宋" w:cs="仿宋"/>
          <w:color w:val="auto"/>
          <w:sz w:val="32"/>
          <w:szCs w:val="32"/>
          <w:u w:val="none"/>
        </w:rPr>
        <w:t>黄炎培职业教育奖优秀学校、</w:t>
      </w:r>
      <w:r>
        <w:rPr>
          <w:rFonts w:hint="eastAsia" w:ascii="仿宋" w:hAnsi="仿宋" w:eastAsia="仿宋" w:cs="仿宋"/>
          <w:color w:val="auto"/>
          <w:sz w:val="32"/>
          <w:szCs w:val="32"/>
          <w:u w:val="none"/>
          <w:lang w:eastAsia="zh-CN"/>
        </w:rPr>
        <w:t>湖南</w:t>
      </w:r>
      <w:r>
        <w:rPr>
          <w:rFonts w:hint="eastAsia" w:ascii="仿宋" w:hAnsi="仿宋" w:eastAsia="仿宋" w:cs="仿宋"/>
          <w:color w:val="auto"/>
          <w:sz w:val="32"/>
          <w:szCs w:val="32"/>
          <w:u w:val="none"/>
        </w:rPr>
        <w:t>省文明校园、</w:t>
      </w:r>
      <w:r>
        <w:rPr>
          <w:rFonts w:hint="eastAsia" w:ascii="仿宋" w:hAnsi="仿宋" w:eastAsia="仿宋" w:cs="仿宋"/>
          <w:color w:val="auto"/>
          <w:sz w:val="32"/>
          <w:szCs w:val="32"/>
          <w:u w:val="none"/>
          <w:lang w:eastAsia="zh-CN"/>
        </w:rPr>
        <w:t>湖南</w:t>
      </w:r>
      <w:r>
        <w:rPr>
          <w:rFonts w:hint="eastAsia" w:ascii="仿宋" w:hAnsi="仿宋" w:eastAsia="仿宋" w:cs="仿宋"/>
          <w:color w:val="auto"/>
          <w:sz w:val="32"/>
          <w:szCs w:val="32"/>
          <w:u w:val="none"/>
        </w:rPr>
        <w:t>省普通高校毕业生就业创业工作“一把手工程”优秀单位、</w:t>
      </w:r>
      <w:r>
        <w:rPr>
          <w:rFonts w:hint="eastAsia" w:ascii="仿宋" w:hAnsi="仿宋" w:eastAsia="仿宋" w:cs="仿宋"/>
          <w:color w:val="auto"/>
          <w:sz w:val="32"/>
          <w:szCs w:val="32"/>
          <w:u w:val="none"/>
          <w:lang w:eastAsia="zh-CN"/>
        </w:rPr>
        <w:t>湖南</w:t>
      </w:r>
      <w:r>
        <w:rPr>
          <w:rFonts w:hint="eastAsia" w:ascii="仿宋" w:hAnsi="仿宋" w:eastAsia="仿宋" w:cs="仿宋"/>
          <w:color w:val="auto"/>
          <w:sz w:val="32"/>
          <w:szCs w:val="32"/>
          <w:u w:val="none"/>
        </w:rPr>
        <w:t>省基层卫生本士化人才培养基地、</w:t>
      </w:r>
      <w:r>
        <w:rPr>
          <w:rFonts w:hint="eastAsia" w:ascii="仿宋" w:hAnsi="仿宋" w:eastAsia="仿宋" w:cs="仿宋"/>
          <w:color w:val="auto"/>
          <w:sz w:val="32"/>
          <w:szCs w:val="32"/>
          <w:u w:val="none"/>
          <w:lang w:eastAsia="zh-CN"/>
        </w:rPr>
        <w:t>湖南</w:t>
      </w:r>
      <w:r>
        <w:rPr>
          <w:rFonts w:hint="eastAsia" w:ascii="仿宋" w:hAnsi="仿宋" w:eastAsia="仿宋" w:cs="仿宋"/>
          <w:color w:val="auto"/>
          <w:sz w:val="32"/>
          <w:szCs w:val="32"/>
          <w:u w:val="none"/>
        </w:rPr>
        <w:t>省助理全科医生培训结业考核唯一考点。</w:t>
      </w:r>
    </w:p>
    <w:p w14:paraId="242FCD67">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b/>
          <w:bCs/>
          <w:color w:val="auto"/>
          <w:sz w:val="36"/>
          <w:szCs w:val="36"/>
          <w:u w:val="none"/>
          <w:lang w:eastAsia="zh-CN"/>
        </w:rPr>
      </w:pPr>
      <w:r>
        <w:rPr>
          <w:rFonts w:hint="eastAsia" w:ascii="黑体" w:hAnsi="黑体" w:eastAsia="黑体" w:cs="黑体"/>
          <w:b/>
          <w:bCs/>
          <w:color w:val="auto"/>
          <w:sz w:val="36"/>
          <w:szCs w:val="36"/>
          <w:u w:val="none"/>
          <w:lang w:eastAsia="zh-CN"/>
        </w:rPr>
        <w:t>第二章</w:t>
      </w:r>
      <w:r>
        <w:rPr>
          <w:rFonts w:hint="eastAsia" w:ascii="黑体" w:hAnsi="黑体" w:eastAsia="黑体" w:cs="黑体"/>
          <w:b/>
          <w:bCs/>
          <w:color w:val="auto"/>
          <w:sz w:val="36"/>
          <w:szCs w:val="36"/>
          <w:u w:val="none"/>
          <w:lang w:val="en-US" w:eastAsia="zh-CN"/>
        </w:rPr>
        <w:t xml:space="preserve">  </w:t>
      </w:r>
      <w:r>
        <w:rPr>
          <w:rFonts w:hint="eastAsia" w:ascii="黑体" w:hAnsi="黑体" w:eastAsia="黑体" w:cs="黑体"/>
          <w:b/>
          <w:bCs/>
          <w:color w:val="auto"/>
          <w:sz w:val="36"/>
          <w:szCs w:val="36"/>
          <w:u w:val="none"/>
          <w:lang w:eastAsia="zh-CN"/>
        </w:rPr>
        <w:t>组织机构及职责</w:t>
      </w:r>
    </w:p>
    <w:p w14:paraId="62D1FBB6">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第六条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lang w:eastAsia="zh-CN"/>
        </w:rPr>
        <w:t>学校</w:t>
      </w:r>
      <w:r>
        <w:rPr>
          <w:rFonts w:hint="eastAsia" w:ascii="仿宋" w:hAnsi="仿宋" w:eastAsia="仿宋" w:cs="仿宋"/>
          <w:color w:val="auto"/>
          <w:sz w:val="32"/>
          <w:szCs w:val="32"/>
          <w:u w:val="none"/>
          <w:lang w:val="en-US" w:eastAsia="zh-CN"/>
        </w:rPr>
        <w:t>招生工作领导小组负责研究决定本校单招规模确定、政策制订等重大事项</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学校</w:t>
      </w:r>
      <w:r>
        <w:rPr>
          <w:rFonts w:hint="eastAsia" w:ascii="仿宋" w:hAnsi="仿宋" w:eastAsia="仿宋" w:cs="仿宋"/>
          <w:color w:val="auto"/>
          <w:sz w:val="32"/>
          <w:szCs w:val="32"/>
          <w:u w:val="none"/>
          <w:lang w:val="en-US" w:eastAsia="zh-CN"/>
        </w:rPr>
        <w:t>招生就业指导处</w:t>
      </w:r>
      <w:r>
        <w:rPr>
          <w:rFonts w:hint="eastAsia" w:ascii="仿宋" w:hAnsi="仿宋" w:eastAsia="仿宋" w:cs="仿宋"/>
          <w:color w:val="auto"/>
          <w:sz w:val="32"/>
          <w:szCs w:val="32"/>
          <w:u w:val="none"/>
        </w:rPr>
        <w:t>负责单招</w:t>
      </w:r>
      <w:r>
        <w:rPr>
          <w:rFonts w:hint="eastAsia" w:ascii="仿宋" w:hAnsi="仿宋" w:eastAsia="仿宋" w:cs="仿宋"/>
          <w:color w:val="auto"/>
          <w:sz w:val="32"/>
          <w:szCs w:val="32"/>
          <w:u w:val="none"/>
          <w:lang w:val="en-US" w:eastAsia="zh-CN"/>
        </w:rPr>
        <w:t>组织实施</w:t>
      </w:r>
      <w:r>
        <w:rPr>
          <w:rFonts w:hint="eastAsia" w:ascii="仿宋" w:hAnsi="仿宋" w:eastAsia="仿宋" w:cs="仿宋"/>
          <w:color w:val="auto"/>
          <w:sz w:val="32"/>
          <w:szCs w:val="32"/>
          <w:u w:val="none"/>
        </w:rPr>
        <w:t>的日常工作，</w:t>
      </w:r>
      <w:r>
        <w:rPr>
          <w:rFonts w:hint="eastAsia" w:ascii="仿宋" w:hAnsi="仿宋" w:eastAsia="仿宋" w:cs="仿宋"/>
          <w:color w:val="auto"/>
          <w:sz w:val="32"/>
          <w:szCs w:val="32"/>
          <w:lang w:val="en-US" w:eastAsia="zh-CN"/>
        </w:rPr>
        <w:t>教务处、医学基础与公共课部、团委负责相关类别考试的组织，网络中心提供网络技术支持。</w:t>
      </w:r>
    </w:p>
    <w:p w14:paraId="093B362C">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第七条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学校</w:t>
      </w:r>
      <w:r>
        <w:rPr>
          <w:rFonts w:hint="eastAsia" w:ascii="仿宋" w:hAnsi="仿宋" w:eastAsia="仿宋" w:cs="仿宋"/>
          <w:color w:val="auto"/>
          <w:sz w:val="32"/>
          <w:szCs w:val="32"/>
          <w:u w:val="none"/>
          <w:lang w:val="en-US" w:eastAsia="zh-CN"/>
        </w:rPr>
        <w:t>纪委负责全程监督检查单招工作</w:t>
      </w:r>
      <w:r>
        <w:rPr>
          <w:rFonts w:hint="eastAsia" w:ascii="仿宋" w:hAnsi="仿宋" w:eastAsia="仿宋" w:cs="仿宋"/>
          <w:color w:val="auto"/>
          <w:sz w:val="32"/>
          <w:szCs w:val="32"/>
          <w:u w:val="none"/>
        </w:rPr>
        <w:t>。</w:t>
      </w:r>
    </w:p>
    <w:p w14:paraId="339E226C">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b/>
          <w:bCs/>
          <w:color w:val="auto"/>
          <w:sz w:val="36"/>
          <w:szCs w:val="36"/>
          <w:u w:val="none"/>
          <w:lang w:eastAsia="zh-CN"/>
        </w:rPr>
      </w:pPr>
      <w:r>
        <w:rPr>
          <w:rFonts w:hint="eastAsia" w:ascii="黑体" w:hAnsi="黑体" w:eastAsia="黑体" w:cs="黑体"/>
          <w:b/>
          <w:bCs/>
          <w:color w:val="auto"/>
          <w:sz w:val="36"/>
          <w:szCs w:val="36"/>
          <w:u w:val="none"/>
          <w:lang w:val="en-US" w:eastAsia="zh-CN"/>
        </w:rPr>
        <w:t>第三章  单招报考</w:t>
      </w:r>
    </w:p>
    <w:p w14:paraId="753E0AA3">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第八条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符合我省</w:t>
      </w:r>
      <w:r>
        <w:rPr>
          <w:rFonts w:hint="eastAsia" w:ascii="仿宋" w:hAnsi="仿宋" w:eastAsia="仿宋" w:cs="仿宋"/>
          <w:color w:val="auto"/>
          <w:sz w:val="32"/>
          <w:szCs w:val="32"/>
          <w:u w:val="none"/>
          <w:lang w:eastAsia="zh-CN"/>
        </w:rPr>
        <w:t>2025</w:t>
      </w:r>
      <w:r>
        <w:rPr>
          <w:rFonts w:hint="eastAsia" w:ascii="仿宋" w:hAnsi="仿宋" w:eastAsia="仿宋" w:cs="仿宋"/>
          <w:color w:val="auto"/>
          <w:sz w:val="32"/>
          <w:szCs w:val="32"/>
          <w:u w:val="none"/>
        </w:rPr>
        <w:t>年普通高考（含对口招生考试）报名条件并已参加高考报名的人员。</w:t>
      </w:r>
    </w:p>
    <w:p w14:paraId="28999469">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第九条</w:t>
      </w:r>
      <w:r>
        <w:rPr>
          <w:rFonts w:hint="eastAsia" w:ascii="仿宋" w:hAnsi="仿宋" w:eastAsia="仿宋" w:cs="仿宋"/>
          <w:color w:val="auto"/>
          <w:sz w:val="32"/>
          <w:szCs w:val="32"/>
          <w:u w:val="none"/>
          <w:lang w:val="en-US" w:eastAsia="zh-CN"/>
        </w:rPr>
        <w:t xml:space="preserve">  全省</w:t>
      </w:r>
      <w:r>
        <w:rPr>
          <w:rFonts w:hint="eastAsia" w:ascii="仿宋" w:hAnsi="仿宋" w:eastAsia="仿宋" w:cs="仿宋"/>
          <w:color w:val="auto"/>
          <w:sz w:val="32"/>
          <w:szCs w:val="32"/>
          <w:u w:val="none"/>
        </w:rPr>
        <w:t>单招</w:t>
      </w:r>
      <w:r>
        <w:rPr>
          <w:rFonts w:hint="eastAsia" w:ascii="仿宋" w:hAnsi="仿宋" w:eastAsia="仿宋" w:cs="仿宋"/>
          <w:color w:val="auto"/>
          <w:sz w:val="32"/>
          <w:szCs w:val="32"/>
          <w:u w:val="none"/>
          <w:lang w:val="en-US" w:eastAsia="zh-CN"/>
        </w:rPr>
        <w:t>统一报考和填报志愿时间为</w:t>
      </w:r>
      <w:r>
        <w:rPr>
          <w:rFonts w:hint="eastAsia" w:ascii="仿宋" w:hAnsi="仿宋" w:eastAsia="仿宋" w:cs="仿宋"/>
          <w:color w:val="auto"/>
          <w:sz w:val="32"/>
          <w:szCs w:val="32"/>
          <w:u w:val="none"/>
          <w:lang w:eastAsia="zh-CN"/>
        </w:rPr>
        <w:t>2025</w:t>
      </w:r>
      <w:r>
        <w:rPr>
          <w:rFonts w:hint="eastAsia" w:ascii="仿宋" w:hAnsi="仿宋" w:eastAsia="仿宋" w:cs="仿宋"/>
          <w:color w:val="auto"/>
          <w:sz w:val="32"/>
          <w:szCs w:val="32"/>
          <w:u w:val="none"/>
        </w:rPr>
        <w:t>年2月</w:t>
      </w:r>
      <w:r>
        <w:rPr>
          <w:rFonts w:hint="eastAsia" w:ascii="仿宋" w:hAnsi="仿宋" w:eastAsia="仿宋" w:cs="仿宋"/>
          <w:color w:val="auto"/>
          <w:sz w:val="32"/>
          <w:szCs w:val="32"/>
          <w:u w:val="none"/>
          <w:lang w:val="en-US" w:eastAsia="zh-CN"/>
        </w:rPr>
        <w:t>18</w:t>
      </w:r>
      <w:r>
        <w:rPr>
          <w:rFonts w:hint="eastAsia" w:ascii="仿宋" w:hAnsi="仿宋" w:eastAsia="仿宋" w:cs="仿宋"/>
          <w:color w:val="auto"/>
          <w:sz w:val="32"/>
          <w:szCs w:val="32"/>
          <w:u w:val="none"/>
        </w:rPr>
        <w:t>日</w:t>
      </w:r>
      <w:r>
        <w:rPr>
          <w:rFonts w:hint="eastAsia" w:ascii="仿宋" w:hAnsi="仿宋" w:eastAsia="仿宋" w:cs="仿宋"/>
          <w:color w:val="auto"/>
          <w:sz w:val="32"/>
          <w:szCs w:val="32"/>
          <w:u w:val="none"/>
          <w:lang w:val="en-US" w:eastAsia="zh-CN"/>
        </w:rPr>
        <w:t>-2</w:t>
      </w:r>
      <w:r>
        <w:rPr>
          <w:rFonts w:hint="eastAsia" w:ascii="仿宋" w:hAnsi="仿宋" w:eastAsia="仿宋" w:cs="仿宋"/>
          <w:color w:val="auto"/>
          <w:sz w:val="32"/>
          <w:szCs w:val="32"/>
          <w:u w:val="none"/>
        </w:rPr>
        <w:t>5日</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实行网上报考和填报志愿。</w:t>
      </w:r>
      <w:r>
        <w:rPr>
          <w:rFonts w:hint="eastAsia" w:ascii="仿宋" w:hAnsi="仿宋" w:eastAsia="仿宋" w:cs="仿宋"/>
          <w:color w:val="auto"/>
          <w:sz w:val="32"/>
          <w:szCs w:val="32"/>
          <w:u w:val="none"/>
        </w:rPr>
        <w:t>单招报考设第一志愿和第二志愿，考生可选择1－2所院校</w:t>
      </w:r>
      <w:r>
        <w:rPr>
          <w:rFonts w:hint="eastAsia" w:ascii="仿宋" w:hAnsi="仿宋" w:eastAsia="仿宋" w:cs="仿宋"/>
          <w:color w:val="auto"/>
          <w:sz w:val="32"/>
          <w:szCs w:val="32"/>
          <w:u w:val="none"/>
          <w:lang w:val="en-US" w:eastAsia="zh-CN"/>
        </w:rPr>
        <w:t>在指定网上平台进行报考</w:t>
      </w:r>
      <w:r>
        <w:rPr>
          <w:rFonts w:hint="eastAsia" w:ascii="仿宋" w:hAnsi="仿宋" w:eastAsia="仿宋" w:cs="仿宋"/>
          <w:color w:val="auto"/>
          <w:sz w:val="32"/>
          <w:szCs w:val="32"/>
          <w:u w:val="none"/>
          <w:lang w:eastAsia="zh-CN"/>
        </w:rPr>
        <w:t>。</w:t>
      </w:r>
    </w:p>
    <w:p w14:paraId="2E96D386">
      <w:pPr>
        <w:keepNext w:val="0"/>
        <w:keepLines w:val="0"/>
        <w:pageBreakBefore w:val="0"/>
        <w:numPr>
          <w:ilvl w:val="0"/>
          <w:numId w:val="0"/>
        </w:numPr>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lang w:val="en-US" w:eastAsia="zh-CN"/>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请考生在报考前关注学校网站（www.xtzy.com）公布的有关信息。</w:t>
      </w:r>
    </w:p>
    <w:p w14:paraId="27B831EE">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第十条</w:t>
      </w:r>
      <w:r>
        <w:rPr>
          <w:rFonts w:hint="eastAsia" w:ascii="仿宋" w:hAnsi="仿宋" w:eastAsia="仿宋" w:cs="仿宋"/>
          <w:color w:val="auto"/>
          <w:sz w:val="32"/>
          <w:szCs w:val="32"/>
          <w:u w:val="none"/>
          <w:lang w:val="en-US" w:eastAsia="zh-CN"/>
        </w:rPr>
        <w:t xml:space="preserve">  填报专业要求。考生在填报我校志愿时，需选择报考的一个或几个专业，并确定是否选择专业服从调剂。</w:t>
      </w:r>
    </w:p>
    <w:p w14:paraId="4337F4E0">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第十一条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社会人员身份认定。退役军人、农民工、下岗失业人员、新型职业农民分别由户籍所在县（市、区）退役军人事务部门、人力资源社会保障部门及农业农村部门进行认定；企业在岗人员由相关企业提供在岗证明材料。</w:t>
      </w:r>
      <w:r>
        <w:rPr>
          <w:rFonts w:hint="eastAsia" w:ascii="仿宋" w:hAnsi="仿宋" w:eastAsia="仿宋" w:cs="仿宋"/>
          <w:color w:val="auto"/>
          <w:sz w:val="32"/>
          <w:szCs w:val="32"/>
          <w:u w:val="none"/>
          <w:lang w:eastAsia="zh-CN"/>
        </w:rPr>
        <w:t>相关</w:t>
      </w:r>
      <w:r>
        <w:rPr>
          <w:rFonts w:hint="eastAsia" w:ascii="仿宋" w:hAnsi="仿宋" w:eastAsia="仿宋" w:cs="仿宋"/>
          <w:color w:val="auto"/>
          <w:sz w:val="32"/>
          <w:szCs w:val="32"/>
          <w:u w:val="none"/>
        </w:rPr>
        <w:t>证明材料由考生在规定时间内提供给我校审核</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不能</w:t>
      </w:r>
      <w:r>
        <w:rPr>
          <w:rFonts w:hint="eastAsia" w:ascii="仿宋" w:hAnsi="仿宋" w:eastAsia="仿宋" w:cs="仿宋"/>
          <w:color w:val="auto"/>
          <w:sz w:val="32"/>
          <w:szCs w:val="32"/>
          <w:u w:val="none"/>
          <w:lang w:eastAsia="zh-CN"/>
        </w:rPr>
        <w:t>按要求</w:t>
      </w:r>
      <w:r>
        <w:rPr>
          <w:rFonts w:hint="eastAsia" w:ascii="仿宋" w:hAnsi="仿宋" w:eastAsia="仿宋" w:cs="仿宋"/>
          <w:color w:val="auto"/>
          <w:sz w:val="32"/>
          <w:szCs w:val="32"/>
          <w:u w:val="none"/>
        </w:rPr>
        <w:t>提供证明材料的考生只能以普通高中往届生或同等学力人员身份报考，提供虚假证明材料的将依据教育部相关规定取消高考报名资格，已录取的取消录取资格。</w:t>
      </w:r>
    </w:p>
    <w:p w14:paraId="4FF04D03">
      <w:pPr>
        <w:keepNext w:val="0"/>
        <w:keepLines w:val="0"/>
        <w:pageBreakBefore w:val="0"/>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rPr>
      </w:pPr>
      <w:r>
        <w:rPr>
          <w:rFonts w:hint="eastAsia" w:ascii="仿宋" w:hAnsi="仿宋" w:eastAsia="仿宋" w:cs="仿宋"/>
          <w:color w:val="auto"/>
          <w:sz w:val="32"/>
          <w:szCs w:val="32"/>
          <w:u w:val="none"/>
          <w:lang w:val="en-US" w:eastAsia="zh-CN"/>
        </w:rPr>
        <w:t>1.社会人员考生</w:t>
      </w:r>
      <w:r>
        <w:rPr>
          <w:rFonts w:hint="eastAsia" w:ascii="仿宋" w:hAnsi="仿宋" w:eastAsia="仿宋" w:cs="仿宋"/>
          <w:color w:val="auto"/>
          <w:sz w:val="32"/>
          <w:szCs w:val="32"/>
          <w:u w:val="none"/>
        </w:rPr>
        <w:t>资格证明材料</w:t>
      </w:r>
      <w:r>
        <w:rPr>
          <w:rFonts w:hint="eastAsia" w:ascii="仿宋" w:hAnsi="仿宋" w:eastAsia="仿宋" w:cs="仿宋"/>
          <w:color w:val="auto"/>
          <w:sz w:val="32"/>
          <w:szCs w:val="32"/>
          <w:u w:val="none"/>
          <w:lang w:eastAsia="zh-CN"/>
        </w:rPr>
        <w:t>。所有社会人员考生均须提供本人身份证复印件及</w:t>
      </w:r>
      <w:r>
        <w:rPr>
          <w:rFonts w:hint="eastAsia" w:ascii="仿宋" w:hAnsi="仿宋" w:eastAsia="仿宋" w:cs="仿宋"/>
          <w:color w:val="auto"/>
          <w:sz w:val="32"/>
          <w:szCs w:val="32"/>
          <w:u w:val="none"/>
        </w:rPr>
        <w:t>《湖南省</w:t>
      </w:r>
      <w:r>
        <w:rPr>
          <w:rFonts w:hint="eastAsia" w:ascii="仿宋" w:hAnsi="仿宋" w:eastAsia="仿宋" w:cs="仿宋"/>
          <w:color w:val="auto"/>
          <w:sz w:val="32"/>
          <w:szCs w:val="32"/>
          <w:u w:val="none"/>
          <w:lang w:eastAsia="zh-CN"/>
        </w:rPr>
        <w:t>2025</w:t>
      </w:r>
      <w:r>
        <w:rPr>
          <w:rFonts w:hint="eastAsia" w:ascii="仿宋" w:hAnsi="仿宋" w:eastAsia="仿宋" w:cs="仿宋"/>
          <w:color w:val="auto"/>
          <w:sz w:val="32"/>
          <w:szCs w:val="32"/>
          <w:u w:val="none"/>
        </w:rPr>
        <w:t>年高职单招报名身份审核（界定）表》</w:t>
      </w:r>
      <w:r>
        <w:rPr>
          <w:rFonts w:hint="eastAsia" w:ascii="仿宋" w:hAnsi="仿宋" w:eastAsia="仿宋" w:cs="仿宋"/>
          <w:color w:val="auto"/>
          <w:sz w:val="32"/>
          <w:szCs w:val="32"/>
          <w:u w:val="none"/>
          <w:lang w:eastAsia="zh-CN"/>
        </w:rPr>
        <w:t>，同时分别提供以下材料：</w:t>
      </w:r>
      <w:r>
        <w:rPr>
          <w:rFonts w:hint="eastAsia" w:ascii="仿宋" w:hAnsi="仿宋" w:eastAsia="仿宋" w:cs="仿宋"/>
          <w:b/>
          <w:bCs/>
          <w:color w:val="auto"/>
          <w:sz w:val="32"/>
          <w:szCs w:val="32"/>
          <w:u w:val="none"/>
        </w:rPr>
        <w:t>退役军人</w:t>
      </w:r>
      <w:r>
        <w:rPr>
          <w:rFonts w:hint="eastAsia" w:ascii="仿宋" w:hAnsi="仿宋" w:eastAsia="仿宋" w:cs="仿宋"/>
          <w:color w:val="auto"/>
          <w:sz w:val="32"/>
          <w:szCs w:val="32"/>
          <w:u w:val="none"/>
          <w:lang w:eastAsia="zh-CN"/>
        </w:rPr>
        <w:t>提供</w:t>
      </w:r>
      <w:r>
        <w:rPr>
          <w:rFonts w:hint="eastAsia" w:ascii="仿宋" w:hAnsi="仿宋" w:eastAsia="仿宋" w:cs="仿宋"/>
          <w:color w:val="auto"/>
          <w:sz w:val="32"/>
          <w:szCs w:val="32"/>
          <w:u w:val="none"/>
        </w:rPr>
        <w:t>退出现役证</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转业证</w:t>
      </w:r>
      <w:r>
        <w:rPr>
          <w:rFonts w:hint="eastAsia" w:ascii="仿宋" w:hAnsi="仿宋" w:eastAsia="仿宋" w:cs="仿宋"/>
          <w:color w:val="auto"/>
          <w:sz w:val="32"/>
          <w:szCs w:val="32"/>
          <w:u w:val="none"/>
          <w:lang w:eastAsia="zh-CN"/>
        </w:rPr>
        <w:t>）；</w:t>
      </w:r>
      <w:r>
        <w:rPr>
          <w:rFonts w:hint="eastAsia" w:ascii="仿宋" w:hAnsi="仿宋" w:eastAsia="仿宋" w:cs="仿宋"/>
          <w:b/>
          <w:bCs/>
          <w:color w:val="auto"/>
          <w:sz w:val="32"/>
          <w:szCs w:val="32"/>
          <w:u w:val="none"/>
          <w:lang w:eastAsia="zh-CN"/>
        </w:rPr>
        <w:t>农</w:t>
      </w:r>
      <w:r>
        <w:rPr>
          <w:rFonts w:hint="eastAsia" w:ascii="仿宋" w:hAnsi="仿宋" w:eastAsia="仿宋" w:cs="仿宋"/>
          <w:b/>
          <w:bCs/>
          <w:color w:val="auto"/>
          <w:sz w:val="32"/>
          <w:szCs w:val="32"/>
          <w:u w:val="none"/>
        </w:rPr>
        <w:t>民工</w:t>
      </w:r>
      <w:r>
        <w:rPr>
          <w:rFonts w:hint="eastAsia" w:ascii="仿宋" w:hAnsi="仿宋" w:eastAsia="仿宋" w:cs="仿宋"/>
          <w:color w:val="auto"/>
          <w:sz w:val="32"/>
          <w:szCs w:val="32"/>
          <w:u w:val="none"/>
          <w:lang w:eastAsia="zh-CN"/>
        </w:rPr>
        <w:t>提供</w:t>
      </w:r>
      <w:r>
        <w:rPr>
          <w:rFonts w:hint="eastAsia" w:ascii="仿宋" w:hAnsi="仿宋" w:eastAsia="仿宋" w:cs="仿宋"/>
          <w:color w:val="auto"/>
          <w:sz w:val="32"/>
          <w:szCs w:val="32"/>
          <w:u w:val="none"/>
        </w:rPr>
        <w:t>职工社保缴费记录、劳动用工合同、劳动用工备案信息、用工单位工资发放</w:t>
      </w:r>
      <w:r>
        <w:rPr>
          <w:rFonts w:hint="eastAsia" w:ascii="仿宋" w:hAnsi="仿宋" w:eastAsia="仿宋" w:cs="仿宋"/>
          <w:color w:val="auto"/>
          <w:sz w:val="32"/>
          <w:szCs w:val="32"/>
          <w:u w:val="none"/>
          <w:lang w:val="en-US" w:eastAsia="zh-CN"/>
        </w:rPr>
        <w:t>记录等4项材料中的一项以上；</w:t>
      </w:r>
      <w:r>
        <w:rPr>
          <w:rFonts w:hint="eastAsia" w:ascii="仿宋" w:hAnsi="仿宋" w:eastAsia="仿宋" w:cs="仿宋"/>
          <w:b/>
          <w:bCs/>
          <w:color w:val="auto"/>
          <w:sz w:val="32"/>
          <w:szCs w:val="32"/>
          <w:u w:val="none"/>
        </w:rPr>
        <w:t>下岗失业人员</w:t>
      </w:r>
      <w:r>
        <w:rPr>
          <w:rFonts w:hint="eastAsia" w:ascii="仿宋" w:hAnsi="仿宋" w:eastAsia="仿宋" w:cs="仿宋"/>
          <w:color w:val="auto"/>
          <w:sz w:val="32"/>
          <w:szCs w:val="32"/>
          <w:u w:val="none"/>
          <w:lang w:eastAsia="zh-CN"/>
        </w:rPr>
        <w:t>提供</w:t>
      </w:r>
      <w:r>
        <w:rPr>
          <w:rFonts w:hint="eastAsia" w:ascii="仿宋" w:hAnsi="仿宋" w:eastAsia="仿宋" w:cs="仿宋"/>
          <w:color w:val="auto"/>
          <w:sz w:val="32"/>
          <w:szCs w:val="32"/>
          <w:u w:val="none"/>
        </w:rPr>
        <w:t>就业创业证</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就业失业登记证</w:t>
      </w:r>
      <w:r>
        <w:rPr>
          <w:rFonts w:hint="eastAsia" w:ascii="仿宋" w:hAnsi="仿宋" w:eastAsia="仿宋" w:cs="仿宋"/>
          <w:color w:val="auto"/>
          <w:sz w:val="32"/>
          <w:szCs w:val="32"/>
          <w:u w:val="none"/>
          <w:lang w:eastAsia="zh-CN"/>
        </w:rPr>
        <w:t>）；</w:t>
      </w:r>
      <w:r>
        <w:rPr>
          <w:rFonts w:hint="eastAsia" w:ascii="仿宋" w:hAnsi="仿宋" w:eastAsia="仿宋" w:cs="仿宋"/>
          <w:b/>
          <w:bCs/>
          <w:color w:val="auto"/>
          <w:sz w:val="32"/>
          <w:szCs w:val="32"/>
          <w:u w:val="none"/>
        </w:rPr>
        <w:t>新型职业农民</w:t>
      </w:r>
      <w:r>
        <w:rPr>
          <w:rFonts w:hint="eastAsia" w:ascii="仿宋" w:hAnsi="仿宋" w:eastAsia="仿宋" w:cs="仿宋"/>
          <w:color w:val="auto"/>
          <w:sz w:val="32"/>
          <w:szCs w:val="32"/>
          <w:u w:val="none"/>
          <w:lang w:eastAsia="zh-CN"/>
        </w:rPr>
        <w:t>提供</w:t>
      </w:r>
      <w:r>
        <w:rPr>
          <w:rFonts w:hint="eastAsia" w:ascii="仿宋" w:hAnsi="仿宋" w:eastAsia="仿宋" w:cs="仿宋"/>
          <w:color w:val="auto"/>
          <w:sz w:val="32"/>
          <w:szCs w:val="32"/>
          <w:u w:val="none"/>
        </w:rPr>
        <w:t>新型职业农民证书</w:t>
      </w:r>
      <w:r>
        <w:rPr>
          <w:rFonts w:hint="eastAsia" w:ascii="仿宋" w:hAnsi="仿宋" w:eastAsia="仿宋" w:cs="仿宋"/>
          <w:color w:val="auto"/>
          <w:sz w:val="32"/>
          <w:szCs w:val="32"/>
          <w:u w:val="none"/>
          <w:lang w:eastAsia="zh-CN"/>
        </w:rPr>
        <w:t>；</w:t>
      </w:r>
      <w:r>
        <w:rPr>
          <w:rFonts w:hint="eastAsia" w:ascii="仿宋" w:hAnsi="仿宋" w:eastAsia="仿宋" w:cs="仿宋"/>
          <w:b/>
          <w:bCs/>
          <w:color w:val="auto"/>
          <w:sz w:val="32"/>
          <w:szCs w:val="32"/>
          <w:u w:val="none"/>
        </w:rPr>
        <w:t>企业在岗人员</w:t>
      </w:r>
      <w:r>
        <w:rPr>
          <w:rFonts w:hint="eastAsia" w:ascii="仿宋" w:hAnsi="仿宋" w:eastAsia="仿宋" w:cs="仿宋"/>
          <w:color w:val="auto"/>
          <w:sz w:val="32"/>
          <w:szCs w:val="32"/>
          <w:u w:val="none"/>
          <w:lang w:eastAsia="zh-CN"/>
        </w:rPr>
        <w:t>须</w:t>
      </w:r>
      <w:r>
        <w:rPr>
          <w:rFonts w:hint="eastAsia" w:ascii="仿宋" w:hAnsi="仿宋" w:eastAsia="仿宋" w:cs="仿宋"/>
          <w:color w:val="auto"/>
          <w:sz w:val="32"/>
          <w:szCs w:val="32"/>
          <w:u w:val="none"/>
          <w:lang w:val="en-US" w:eastAsia="zh-CN"/>
        </w:rPr>
        <w:t>同时提供企业在岗证明、一年以上工资发放流水、一年以上社保缴纳记录</w:t>
      </w:r>
      <w:r>
        <w:rPr>
          <w:rFonts w:hint="eastAsia" w:ascii="仿宋" w:hAnsi="仿宋" w:eastAsia="仿宋" w:cs="仿宋"/>
          <w:color w:val="auto"/>
          <w:sz w:val="32"/>
          <w:szCs w:val="32"/>
          <w:u w:val="none"/>
        </w:rPr>
        <w:t>。</w:t>
      </w:r>
    </w:p>
    <w:p w14:paraId="1F513500">
      <w:pPr>
        <w:keepNext w:val="0"/>
        <w:keepLines w:val="0"/>
        <w:pageBreakBefore w:val="0"/>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lang w:val="en-US"/>
        </w:rPr>
      </w:pPr>
      <w:r>
        <w:rPr>
          <w:rFonts w:hint="eastAsia" w:ascii="仿宋" w:hAnsi="仿宋" w:eastAsia="仿宋" w:cs="仿宋"/>
          <w:color w:val="auto"/>
          <w:sz w:val="32"/>
          <w:szCs w:val="32"/>
          <w:u w:val="none"/>
          <w:lang w:val="en-US" w:eastAsia="zh-CN"/>
        </w:rPr>
        <w:t>2.</w:t>
      </w:r>
      <w:r>
        <w:rPr>
          <w:rFonts w:hint="eastAsia" w:ascii="仿宋" w:hAnsi="仿宋" w:eastAsia="仿宋" w:cs="仿宋"/>
          <w:color w:val="auto"/>
          <w:sz w:val="32"/>
          <w:szCs w:val="32"/>
          <w:u w:val="none"/>
        </w:rPr>
        <w:t>材料提交时间及方式</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考生</w:t>
      </w:r>
      <w:r>
        <w:rPr>
          <w:rFonts w:hint="eastAsia" w:ascii="仿宋" w:hAnsi="仿宋" w:eastAsia="仿宋" w:cs="仿宋"/>
          <w:color w:val="auto"/>
          <w:sz w:val="32"/>
          <w:szCs w:val="32"/>
          <w:u w:val="none"/>
          <w:lang w:val="en-US" w:eastAsia="zh-CN"/>
        </w:rPr>
        <w:t>须在2025年2月22日8:00前将符合上述要求的</w:t>
      </w:r>
      <w:r>
        <w:rPr>
          <w:rFonts w:hint="eastAsia" w:ascii="仿宋" w:hAnsi="仿宋" w:eastAsia="仿宋" w:cs="仿宋"/>
          <w:color w:val="auto"/>
          <w:sz w:val="32"/>
          <w:szCs w:val="32"/>
          <w:u w:val="none"/>
        </w:rPr>
        <w:t>证明材料</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通过现场审核方式交由我校招生就业指导处（湖南省湘潭市岳塘区双拥中路湘潭医卫职业技术学院校本部综合实训楼104办公室）进行确认（联系方式：0731-58519123,18607324108，18673269694）。</w:t>
      </w:r>
    </w:p>
    <w:p w14:paraId="78581C72">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b/>
          <w:bCs/>
          <w:color w:val="auto"/>
          <w:sz w:val="36"/>
          <w:szCs w:val="36"/>
          <w:u w:val="none"/>
          <w:lang w:eastAsia="zh-CN"/>
        </w:rPr>
      </w:pPr>
      <w:r>
        <w:rPr>
          <w:rFonts w:hint="eastAsia" w:ascii="黑体" w:hAnsi="黑体" w:eastAsia="黑体" w:cs="黑体"/>
          <w:b/>
          <w:bCs/>
          <w:color w:val="auto"/>
          <w:sz w:val="36"/>
          <w:szCs w:val="36"/>
          <w:u w:val="none"/>
          <w:lang w:eastAsia="zh-CN"/>
        </w:rPr>
        <w:t>第四章</w:t>
      </w:r>
      <w:r>
        <w:rPr>
          <w:rFonts w:hint="eastAsia" w:ascii="黑体" w:hAnsi="黑体" w:eastAsia="黑体" w:cs="黑体"/>
          <w:b/>
          <w:bCs/>
          <w:color w:val="auto"/>
          <w:sz w:val="36"/>
          <w:szCs w:val="36"/>
          <w:u w:val="none"/>
          <w:lang w:val="en-US" w:eastAsia="zh-CN"/>
        </w:rPr>
        <w:t xml:space="preserve">  </w:t>
      </w:r>
      <w:r>
        <w:rPr>
          <w:rFonts w:hint="eastAsia" w:ascii="黑体" w:hAnsi="黑体" w:eastAsia="黑体" w:cs="黑体"/>
          <w:b/>
          <w:bCs/>
          <w:color w:val="auto"/>
          <w:sz w:val="36"/>
          <w:szCs w:val="36"/>
          <w:u w:val="none"/>
          <w:lang w:eastAsia="zh-CN"/>
        </w:rPr>
        <w:t>单招计划</w:t>
      </w:r>
      <w:r>
        <w:rPr>
          <w:rFonts w:hint="eastAsia" w:ascii="黑体" w:hAnsi="黑体" w:eastAsia="黑体" w:cs="黑体"/>
          <w:b/>
          <w:bCs/>
          <w:color w:val="auto"/>
          <w:sz w:val="36"/>
          <w:szCs w:val="36"/>
          <w:u w:val="none"/>
          <w:lang w:val="en-US" w:eastAsia="zh-CN"/>
        </w:rPr>
        <w:t>及专业</w:t>
      </w:r>
    </w:p>
    <w:p w14:paraId="65D92B4B">
      <w:pPr>
        <w:keepNext w:val="0"/>
        <w:keepLines w:val="0"/>
        <w:pageBreakBefore w:val="0"/>
        <w:widowControl/>
        <w:numPr>
          <w:ilvl w:val="0"/>
          <w:numId w:val="0"/>
        </w:numPr>
        <w:kinsoku/>
        <w:wordWrap/>
        <w:overflowPunct/>
        <w:topLinePunct w:val="0"/>
        <w:autoSpaceDN/>
        <w:bidi w:val="0"/>
        <w:adjustRightInd/>
        <w:snapToGrid/>
        <w:spacing w:line="240" w:lineRule="auto"/>
        <w:ind w:firstLine="643" w:firstLineChars="200"/>
        <w:jc w:val="left"/>
        <w:rPr>
          <w:rFonts w:hint="default" w:ascii="仿宋" w:hAnsi="仿宋" w:eastAsia="仿宋" w:cs="仿宋"/>
          <w:b/>
          <w:color w:val="auto"/>
          <w:kern w:val="0"/>
          <w:sz w:val="32"/>
          <w:szCs w:val="32"/>
          <w:u w:val="none"/>
          <w:lang w:val="en-US" w:eastAsia="zh-CN"/>
        </w:rPr>
      </w:pPr>
      <w:r>
        <w:rPr>
          <w:rFonts w:hint="eastAsia" w:ascii="仿宋" w:hAnsi="仿宋" w:eastAsia="仿宋" w:cs="仿宋"/>
          <w:b/>
          <w:bCs/>
          <w:color w:val="auto"/>
          <w:sz w:val="32"/>
          <w:szCs w:val="32"/>
          <w:u w:val="none"/>
          <w:lang w:val="en-US" w:eastAsia="zh-CN"/>
        </w:rPr>
        <w:t xml:space="preserve">第十二条  </w:t>
      </w:r>
      <w:r>
        <w:rPr>
          <w:rFonts w:hint="eastAsia" w:ascii="仿宋" w:hAnsi="仿宋" w:eastAsia="仿宋" w:cs="仿宋"/>
          <w:color w:val="auto"/>
          <w:sz w:val="32"/>
          <w:szCs w:val="32"/>
          <w:u w:val="none"/>
          <w:lang w:val="en-US" w:eastAsia="zh-CN"/>
        </w:rPr>
        <w:t>我校</w:t>
      </w:r>
      <w:r>
        <w:rPr>
          <w:rFonts w:hint="eastAsia" w:ascii="仿宋" w:hAnsi="仿宋" w:eastAsia="仿宋" w:cs="仿宋"/>
          <w:color w:val="auto"/>
          <w:sz w:val="32"/>
          <w:szCs w:val="32"/>
          <w:u w:val="none"/>
          <w:lang w:eastAsia="zh-CN"/>
        </w:rPr>
        <w:t>2025</w:t>
      </w:r>
      <w:r>
        <w:rPr>
          <w:rFonts w:hint="eastAsia" w:ascii="仿宋" w:hAnsi="仿宋" w:eastAsia="仿宋" w:cs="仿宋"/>
          <w:color w:val="auto"/>
          <w:sz w:val="32"/>
          <w:szCs w:val="32"/>
          <w:u w:val="none"/>
        </w:rPr>
        <w:t>年单招</w:t>
      </w:r>
      <w:r>
        <w:rPr>
          <w:rFonts w:hint="eastAsia" w:ascii="仿宋" w:hAnsi="仿宋" w:eastAsia="仿宋" w:cs="仿宋"/>
          <w:color w:val="auto"/>
          <w:sz w:val="32"/>
          <w:szCs w:val="32"/>
          <w:u w:val="none"/>
          <w:lang w:val="en-US" w:eastAsia="zh-CN"/>
        </w:rPr>
        <w:t>总</w:t>
      </w:r>
      <w:r>
        <w:rPr>
          <w:rFonts w:hint="eastAsia" w:ascii="仿宋" w:hAnsi="仿宋" w:eastAsia="仿宋" w:cs="仿宋"/>
          <w:color w:val="auto"/>
          <w:sz w:val="32"/>
          <w:szCs w:val="32"/>
          <w:u w:val="none"/>
        </w:rPr>
        <w:t>计划数为</w:t>
      </w:r>
      <w:r>
        <w:rPr>
          <w:rFonts w:hint="eastAsia" w:ascii="仿宋" w:hAnsi="仿宋" w:eastAsia="仿宋" w:cs="仿宋"/>
          <w:color w:val="auto"/>
          <w:sz w:val="32"/>
          <w:szCs w:val="32"/>
          <w:u w:val="none"/>
          <w:lang w:val="en-US" w:eastAsia="zh-CN"/>
        </w:rPr>
        <w:t>2325</w:t>
      </w:r>
      <w:r>
        <w:rPr>
          <w:rFonts w:hint="eastAsia" w:ascii="仿宋" w:hAnsi="仿宋" w:eastAsia="仿宋" w:cs="仿宋"/>
          <w:color w:val="auto"/>
          <w:sz w:val="32"/>
          <w:szCs w:val="32"/>
          <w:u w:val="none"/>
        </w:rPr>
        <w:t>人</w:t>
      </w:r>
      <w:r>
        <w:rPr>
          <w:rFonts w:hint="eastAsia" w:ascii="仿宋" w:hAnsi="仿宋" w:eastAsia="仿宋" w:cs="仿宋"/>
          <w:color w:val="auto"/>
          <w:sz w:val="32"/>
          <w:szCs w:val="32"/>
          <w:u w:val="none"/>
          <w:lang w:eastAsia="zh-CN"/>
        </w:rPr>
        <w:t>，其中包</w:t>
      </w:r>
      <w:r>
        <w:rPr>
          <w:rFonts w:hint="eastAsia" w:ascii="仿宋" w:hAnsi="仿宋" w:eastAsia="仿宋" w:cs="仿宋"/>
          <w:color w:val="auto"/>
          <w:sz w:val="32"/>
          <w:szCs w:val="32"/>
          <w:u w:val="none"/>
          <w:lang w:val="en-US" w:eastAsia="zh-CN"/>
        </w:rPr>
        <w:t>含单列计划的退役军人10人、其他社会人员 20人、艺术和体育特长生分别为10人。</w:t>
      </w:r>
      <w:r>
        <w:rPr>
          <w:rFonts w:hint="eastAsia" w:ascii="仿宋" w:hAnsi="仿宋" w:eastAsia="仿宋" w:cs="仿宋"/>
          <w:color w:val="auto"/>
          <w:sz w:val="32"/>
          <w:szCs w:val="32"/>
          <w:u w:val="none"/>
          <w:lang w:eastAsia="zh-CN"/>
        </w:rPr>
        <w:t>本校</w:t>
      </w:r>
      <w:r>
        <w:rPr>
          <w:rFonts w:hint="eastAsia" w:ascii="仿宋" w:hAnsi="仿宋" w:eastAsia="仿宋" w:cs="仿宋"/>
          <w:color w:val="auto"/>
          <w:sz w:val="32"/>
          <w:szCs w:val="32"/>
          <w:u w:val="none"/>
          <w:lang w:val="en-US" w:eastAsia="zh-CN"/>
        </w:rPr>
        <w:t>2025年招生专业（含方向）最终以湖南省教育考试院公布的为准，各专业最终学费标准以2025年湖南省物价主管部门审核为准。</w:t>
      </w:r>
    </w:p>
    <w:tbl>
      <w:tblPr>
        <w:tblStyle w:val="12"/>
        <w:tblW w:w="8391" w:type="dxa"/>
        <w:jc w:val="center"/>
        <w:tblLayout w:type="fixed"/>
        <w:tblCellMar>
          <w:top w:w="0" w:type="dxa"/>
          <w:left w:w="108" w:type="dxa"/>
          <w:bottom w:w="0" w:type="dxa"/>
          <w:right w:w="108" w:type="dxa"/>
        </w:tblCellMar>
      </w:tblPr>
      <w:tblGrid>
        <w:gridCol w:w="1627"/>
        <w:gridCol w:w="5207"/>
        <w:gridCol w:w="1557"/>
      </w:tblGrid>
      <w:tr w14:paraId="6E9496FD">
        <w:tblPrEx>
          <w:tblCellMar>
            <w:top w:w="0" w:type="dxa"/>
            <w:left w:w="108" w:type="dxa"/>
            <w:bottom w:w="0" w:type="dxa"/>
            <w:right w:w="108" w:type="dxa"/>
          </w:tblCellMar>
        </w:tblPrEx>
        <w:trPr>
          <w:trHeight w:val="501" w:hRule="atLeast"/>
          <w:jc w:val="center"/>
        </w:trPr>
        <w:tc>
          <w:tcPr>
            <w:tcW w:w="1627" w:type="dxa"/>
            <w:tcBorders>
              <w:top w:val="single" w:color="auto" w:sz="4" w:space="0"/>
              <w:left w:val="single" w:color="auto" w:sz="4" w:space="0"/>
              <w:bottom w:val="single" w:color="auto" w:sz="4" w:space="0"/>
              <w:right w:val="single" w:color="auto" w:sz="4" w:space="0"/>
            </w:tcBorders>
            <w:noWrap/>
            <w:vAlign w:val="center"/>
          </w:tcPr>
          <w:p w14:paraId="44CFCB99">
            <w:pPr>
              <w:keepNext w:val="0"/>
              <w:keepLines w:val="0"/>
              <w:pageBreakBefore w:val="0"/>
              <w:widowControl/>
              <w:kinsoku/>
              <w:wordWrap/>
              <w:overflowPunct/>
              <w:topLinePunct w:val="0"/>
              <w:autoSpaceDE/>
              <w:autoSpaceDN/>
              <w:bidi w:val="0"/>
              <w:adjustRightInd/>
              <w:snapToGrid/>
              <w:spacing w:line="460" w:lineRule="exact"/>
              <w:jc w:val="center"/>
              <w:textAlignment w:val="center"/>
              <w:rPr>
                <w:rFonts w:hint="eastAsia" w:ascii="仿宋" w:hAnsi="仿宋" w:eastAsia="仿宋" w:cs="仿宋"/>
                <w:b/>
                <w:color w:val="auto"/>
                <w:kern w:val="0"/>
                <w:sz w:val="32"/>
                <w:szCs w:val="32"/>
                <w:u w:val="none"/>
                <w:lang w:eastAsia="zh-CN"/>
              </w:rPr>
            </w:pPr>
            <w:r>
              <w:rPr>
                <w:rFonts w:hint="eastAsia" w:ascii="仿宋" w:hAnsi="仿宋" w:eastAsia="仿宋" w:cs="仿宋"/>
                <w:b/>
                <w:bCs/>
                <w:color w:val="auto"/>
                <w:kern w:val="0"/>
                <w:sz w:val="32"/>
                <w:szCs w:val="32"/>
                <w:u w:val="none"/>
                <w:lang w:eastAsia="zh-CN" w:bidi="ar"/>
              </w:rPr>
              <w:t>二级学院</w:t>
            </w:r>
          </w:p>
        </w:tc>
        <w:tc>
          <w:tcPr>
            <w:tcW w:w="5207" w:type="dxa"/>
            <w:tcBorders>
              <w:top w:val="single" w:color="auto" w:sz="4" w:space="0"/>
              <w:left w:val="nil"/>
              <w:bottom w:val="single" w:color="auto" w:sz="4" w:space="0"/>
              <w:right w:val="single" w:color="auto" w:sz="4" w:space="0"/>
            </w:tcBorders>
            <w:noWrap/>
            <w:vAlign w:val="center"/>
          </w:tcPr>
          <w:p w14:paraId="48F8167A">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b/>
                <w:color w:val="auto"/>
                <w:kern w:val="0"/>
                <w:sz w:val="32"/>
                <w:szCs w:val="32"/>
                <w:u w:val="none"/>
              </w:rPr>
            </w:pPr>
            <w:r>
              <w:rPr>
                <w:rFonts w:hint="eastAsia" w:ascii="仿宋" w:hAnsi="仿宋" w:eastAsia="仿宋" w:cs="仿宋"/>
                <w:b/>
                <w:bCs/>
                <w:color w:val="auto"/>
                <w:kern w:val="0"/>
                <w:sz w:val="32"/>
                <w:szCs w:val="32"/>
                <w:u w:val="none"/>
                <w:lang w:bidi="ar"/>
              </w:rPr>
              <w:t>专业名称</w:t>
            </w:r>
          </w:p>
        </w:tc>
        <w:tc>
          <w:tcPr>
            <w:tcW w:w="1557" w:type="dxa"/>
            <w:tcBorders>
              <w:top w:val="single" w:color="auto" w:sz="4" w:space="0"/>
              <w:left w:val="nil"/>
              <w:bottom w:val="single" w:color="auto" w:sz="4" w:space="0"/>
              <w:right w:val="single" w:color="auto" w:sz="4" w:space="0"/>
            </w:tcBorders>
            <w:noWrap/>
            <w:vAlign w:val="center"/>
          </w:tcPr>
          <w:p w14:paraId="5608DD38">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ascii="仿宋" w:hAnsi="仿宋" w:eastAsia="仿宋" w:cs="仿宋"/>
                <w:b/>
                <w:bCs/>
                <w:color w:val="auto"/>
                <w:kern w:val="0"/>
                <w:sz w:val="32"/>
                <w:szCs w:val="32"/>
                <w:u w:val="none"/>
                <w:lang w:bidi="ar"/>
              </w:rPr>
            </w:pPr>
            <w:r>
              <w:rPr>
                <w:rFonts w:hint="eastAsia" w:ascii="仿宋" w:hAnsi="仿宋" w:eastAsia="仿宋" w:cs="仿宋"/>
                <w:b/>
                <w:bCs/>
                <w:color w:val="auto"/>
                <w:kern w:val="0"/>
                <w:sz w:val="32"/>
                <w:szCs w:val="32"/>
                <w:u w:val="none"/>
                <w:lang w:bidi="ar"/>
              </w:rPr>
              <w:t>学费</w:t>
            </w:r>
          </w:p>
          <w:p w14:paraId="41564641">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ascii="仿宋" w:hAnsi="仿宋" w:eastAsia="仿宋" w:cs="仿宋"/>
                <w:b/>
                <w:color w:val="auto"/>
                <w:kern w:val="0"/>
                <w:sz w:val="32"/>
                <w:szCs w:val="32"/>
                <w:u w:val="none"/>
              </w:rPr>
            </w:pPr>
            <w:r>
              <w:rPr>
                <w:rFonts w:hint="eastAsia" w:ascii="仿宋" w:hAnsi="仿宋" w:eastAsia="仿宋" w:cs="仿宋"/>
                <w:b/>
                <w:bCs/>
                <w:color w:val="auto"/>
                <w:kern w:val="0"/>
                <w:sz w:val="32"/>
                <w:szCs w:val="32"/>
                <w:u w:val="none"/>
                <w:lang w:bidi="ar"/>
              </w:rPr>
              <w:t>（元/年）</w:t>
            </w:r>
          </w:p>
        </w:tc>
      </w:tr>
      <w:tr w14:paraId="71F44530">
        <w:tblPrEx>
          <w:tblCellMar>
            <w:top w:w="0" w:type="dxa"/>
            <w:left w:w="108" w:type="dxa"/>
            <w:bottom w:w="0" w:type="dxa"/>
            <w:right w:w="108" w:type="dxa"/>
          </w:tblCellMar>
        </w:tblPrEx>
        <w:trPr>
          <w:trHeight w:val="501" w:hRule="atLeast"/>
          <w:jc w:val="center"/>
        </w:trPr>
        <w:tc>
          <w:tcPr>
            <w:tcW w:w="1627" w:type="dxa"/>
            <w:vMerge w:val="restart"/>
            <w:tcBorders>
              <w:top w:val="nil"/>
              <w:left w:val="single" w:color="auto" w:sz="4" w:space="0"/>
              <w:bottom w:val="single" w:color="auto" w:sz="4" w:space="0"/>
              <w:right w:val="single" w:color="auto" w:sz="4" w:space="0"/>
            </w:tcBorders>
            <w:noWrap/>
            <w:vAlign w:val="center"/>
          </w:tcPr>
          <w:p w14:paraId="0AF6782C">
            <w:pPr>
              <w:keepNext w:val="0"/>
              <w:keepLines w:val="0"/>
              <w:pageBreakBefore w:val="0"/>
              <w:widowControl/>
              <w:kinsoku/>
              <w:wordWrap/>
              <w:overflowPunct/>
              <w:topLinePunct w:val="0"/>
              <w:autoSpaceDE/>
              <w:autoSpaceDN/>
              <w:bidi w:val="0"/>
              <w:adjustRightInd/>
              <w:snapToGrid/>
              <w:spacing w:line="460" w:lineRule="exact"/>
              <w:jc w:val="center"/>
              <w:textAlignment w:val="center"/>
              <w:rPr>
                <w:rFonts w:hint="eastAsia" w:ascii="仿宋" w:hAnsi="仿宋" w:eastAsia="仿宋" w:cs="仿宋"/>
                <w:color w:val="auto"/>
                <w:kern w:val="0"/>
                <w:sz w:val="32"/>
                <w:szCs w:val="32"/>
                <w:u w:val="none"/>
                <w:lang w:eastAsia="zh-CN" w:bidi="ar"/>
              </w:rPr>
            </w:pPr>
            <w:r>
              <w:rPr>
                <w:rFonts w:hint="eastAsia" w:ascii="仿宋" w:hAnsi="仿宋" w:eastAsia="仿宋" w:cs="仿宋"/>
                <w:color w:val="auto"/>
                <w:kern w:val="0"/>
                <w:sz w:val="32"/>
                <w:szCs w:val="32"/>
                <w:u w:val="none"/>
                <w:lang w:eastAsia="zh-CN" w:bidi="ar"/>
              </w:rPr>
              <w:t>护理</w:t>
            </w:r>
          </w:p>
          <w:p w14:paraId="0B848F9F">
            <w:pPr>
              <w:keepNext w:val="0"/>
              <w:keepLines w:val="0"/>
              <w:pageBreakBefore w:val="0"/>
              <w:widowControl/>
              <w:kinsoku/>
              <w:wordWrap/>
              <w:overflowPunct/>
              <w:topLinePunct w:val="0"/>
              <w:autoSpaceDE/>
              <w:autoSpaceDN/>
              <w:bidi w:val="0"/>
              <w:adjustRightInd/>
              <w:snapToGrid/>
              <w:spacing w:line="460" w:lineRule="exact"/>
              <w:jc w:val="center"/>
              <w:textAlignment w:val="center"/>
              <w:rPr>
                <w:rFonts w:hint="eastAsia" w:ascii="仿宋" w:hAnsi="仿宋" w:eastAsia="仿宋" w:cs="仿宋"/>
                <w:color w:val="auto"/>
                <w:kern w:val="0"/>
                <w:sz w:val="32"/>
                <w:szCs w:val="32"/>
                <w:u w:val="none"/>
                <w:lang w:eastAsia="zh-CN"/>
              </w:rPr>
            </w:pPr>
            <w:r>
              <w:rPr>
                <w:rFonts w:hint="eastAsia" w:ascii="仿宋" w:hAnsi="仿宋" w:eastAsia="仿宋" w:cs="仿宋"/>
                <w:color w:val="auto"/>
                <w:kern w:val="0"/>
                <w:sz w:val="32"/>
                <w:szCs w:val="32"/>
                <w:u w:val="none"/>
                <w:lang w:eastAsia="zh-CN" w:bidi="ar"/>
              </w:rPr>
              <w:t>学院</w:t>
            </w:r>
          </w:p>
        </w:tc>
        <w:tc>
          <w:tcPr>
            <w:tcW w:w="5207" w:type="dxa"/>
            <w:tcBorders>
              <w:top w:val="nil"/>
              <w:left w:val="nil"/>
              <w:bottom w:val="single" w:color="auto" w:sz="4" w:space="0"/>
              <w:right w:val="single" w:color="auto" w:sz="4" w:space="0"/>
            </w:tcBorders>
            <w:noWrap/>
            <w:vAlign w:val="center"/>
          </w:tcPr>
          <w:p w14:paraId="5696C78C">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护理</w:t>
            </w:r>
          </w:p>
        </w:tc>
        <w:tc>
          <w:tcPr>
            <w:tcW w:w="1557" w:type="dxa"/>
            <w:tcBorders>
              <w:top w:val="nil"/>
              <w:left w:val="nil"/>
              <w:bottom w:val="single" w:color="auto" w:sz="4" w:space="0"/>
              <w:right w:val="single" w:color="auto" w:sz="4" w:space="0"/>
            </w:tcBorders>
            <w:noWrap/>
            <w:vAlign w:val="center"/>
          </w:tcPr>
          <w:p w14:paraId="3F4B3991">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kern w:val="0"/>
                <w:sz w:val="32"/>
                <w:szCs w:val="32"/>
                <w:u w:val="none"/>
                <w:lang w:val="en-US" w:eastAsia="zh-CN"/>
              </w:rPr>
            </w:pPr>
            <w:r>
              <w:rPr>
                <w:rFonts w:hint="eastAsia" w:ascii="仿宋" w:hAnsi="仿宋" w:eastAsia="仿宋" w:cs="仿宋"/>
                <w:color w:val="auto"/>
                <w:kern w:val="0"/>
                <w:sz w:val="32"/>
                <w:szCs w:val="32"/>
                <w:u w:val="none"/>
                <w:lang w:val="en-US" w:eastAsia="zh-CN" w:bidi="ar"/>
              </w:rPr>
              <w:t>5460</w:t>
            </w:r>
          </w:p>
        </w:tc>
      </w:tr>
      <w:tr w14:paraId="4C1BD7BD">
        <w:tblPrEx>
          <w:tblCellMar>
            <w:top w:w="0" w:type="dxa"/>
            <w:left w:w="108" w:type="dxa"/>
            <w:bottom w:w="0" w:type="dxa"/>
            <w:right w:w="108" w:type="dxa"/>
          </w:tblCellMar>
        </w:tblPrEx>
        <w:trPr>
          <w:trHeight w:val="501" w:hRule="atLeast"/>
          <w:jc w:val="center"/>
        </w:trPr>
        <w:tc>
          <w:tcPr>
            <w:tcW w:w="1627" w:type="dxa"/>
            <w:vMerge w:val="continue"/>
            <w:tcBorders>
              <w:top w:val="nil"/>
              <w:left w:val="single" w:color="auto" w:sz="4" w:space="0"/>
              <w:bottom w:val="single" w:color="auto" w:sz="4" w:space="0"/>
              <w:right w:val="single" w:color="auto" w:sz="4" w:space="0"/>
            </w:tcBorders>
            <w:noWrap w:val="0"/>
            <w:vAlign w:val="center"/>
          </w:tcPr>
          <w:p w14:paraId="66EF37AC">
            <w:pPr>
              <w:keepNext w:val="0"/>
              <w:keepLines w:val="0"/>
              <w:pageBreakBefore w:val="0"/>
              <w:widowControl/>
              <w:kinsoku/>
              <w:wordWrap/>
              <w:overflowPunct/>
              <w:topLinePunct w:val="0"/>
              <w:autoSpaceDE/>
              <w:autoSpaceDN/>
              <w:bidi w:val="0"/>
              <w:adjustRightInd/>
              <w:snapToGrid/>
              <w:spacing w:line="460" w:lineRule="exact"/>
              <w:jc w:val="center"/>
              <w:rPr>
                <w:rFonts w:hint="eastAsia" w:ascii="仿宋" w:hAnsi="仿宋" w:eastAsia="仿宋" w:cs="仿宋"/>
                <w:color w:val="auto"/>
                <w:kern w:val="0"/>
                <w:sz w:val="32"/>
                <w:szCs w:val="32"/>
                <w:u w:val="none"/>
              </w:rPr>
            </w:pPr>
          </w:p>
        </w:tc>
        <w:tc>
          <w:tcPr>
            <w:tcW w:w="5207" w:type="dxa"/>
            <w:tcBorders>
              <w:top w:val="nil"/>
              <w:left w:val="nil"/>
              <w:bottom w:val="single" w:color="auto" w:sz="4" w:space="0"/>
              <w:right w:val="single" w:color="auto" w:sz="4" w:space="0"/>
            </w:tcBorders>
            <w:noWrap/>
            <w:vAlign w:val="center"/>
          </w:tcPr>
          <w:p w14:paraId="017DBB5E">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助产</w:t>
            </w:r>
          </w:p>
        </w:tc>
        <w:tc>
          <w:tcPr>
            <w:tcW w:w="1557" w:type="dxa"/>
            <w:tcBorders>
              <w:top w:val="nil"/>
              <w:left w:val="nil"/>
              <w:bottom w:val="single" w:color="auto" w:sz="4" w:space="0"/>
              <w:right w:val="single" w:color="auto" w:sz="4" w:space="0"/>
            </w:tcBorders>
            <w:noWrap/>
            <w:vAlign w:val="center"/>
          </w:tcPr>
          <w:p w14:paraId="482D7060">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sz w:val="32"/>
                <w:szCs w:val="32"/>
                <w:u w:val="none"/>
              </w:rPr>
            </w:pPr>
            <w:r>
              <w:rPr>
                <w:rFonts w:hint="eastAsia" w:ascii="仿宋" w:hAnsi="仿宋" w:eastAsia="仿宋" w:cs="仿宋"/>
                <w:color w:val="auto"/>
                <w:kern w:val="0"/>
                <w:sz w:val="32"/>
                <w:szCs w:val="32"/>
                <w:u w:val="none"/>
                <w:lang w:val="en-US" w:eastAsia="zh-CN" w:bidi="ar"/>
              </w:rPr>
              <w:t>5460</w:t>
            </w:r>
          </w:p>
        </w:tc>
      </w:tr>
      <w:tr w14:paraId="774BFED1">
        <w:tblPrEx>
          <w:tblCellMar>
            <w:top w:w="0" w:type="dxa"/>
            <w:left w:w="108" w:type="dxa"/>
            <w:bottom w:w="0" w:type="dxa"/>
            <w:right w:w="108" w:type="dxa"/>
          </w:tblCellMar>
        </w:tblPrEx>
        <w:trPr>
          <w:trHeight w:val="501" w:hRule="atLeast"/>
          <w:jc w:val="center"/>
        </w:trPr>
        <w:tc>
          <w:tcPr>
            <w:tcW w:w="1627" w:type="dxa"/>
            <w:vMerge w:val="continue"/>
            <w:tcBorders>
              <w:top w:val="nil"/>
              <w:left w:val="single" w:color="auto" w:sz="4" w:space="0"/>
              <w:bottom w:val="single" w:color="auto" w:sz="4" w:space="0"/>
              <w:right w:val="single" w:color="auto" w:sz="4" w:space="0"/>
            </w:tcBorders>
            <w:noWrap w:val="0"/>
            <w:vAlign w:val="center"/>
          </w:tcPr>
          <w:p w14:paraId="352AFE01">
            <w:pPr>
              <w:keepNext w:val="0"/>
              <w:keepLines w:val="0"/>
              <w:pageBreakBefore w:val="0"/>
              <w:widowControl/>
              <w:kinsoku/>
              <w:wordWrap/>
              <w:overflowPunct/>
              <w:topLinePunct w:val="0"/>
              <w:autoSpaceDE/>
              <w:autoSpaceDN/>
              <w:bidi w:val="0"/>
              <w:adjustRightInd/>
              <w:snapToGrid/>
              <w:spacing w:line="460" w:lineRule="exact"/>
              <w:jc w:val="center"/>
              <w:rPr>
                <w:rFonts w:hint="eastAsia" w:ascii="仿宋" w:hAnsi="仿宋" w:eastAsia="仿宋" w:cs="仿宋"/>
                <w:color w:val="auto"/>
                <w:kern w:val="0"/>
                <w:sz w:val="32"/>
                <w:szCs w:val="32"/>
                <w:u w:val="none"/>
              </w:rPr>
            </w:pPr>
          </w:p>
        </w:tc>
        <w:tc>
          <w:tcPr>
            <w:tcW w:w="5207" w:type="dxa"/>
            <w:tcBorders>
              <w:top w:val="nil"/>
              <w:left w:val="nil"/>
              <w:bottom w:val="single" w:color="auto" w:sz="4" w:space="0"/>
              <w:right w:val="single" w:color="auto" w:sz="4" w:space="0"/>
            </w:tcBorders>
            <w:noWrap/>
            <w:vAlign w:val="center"/>
          </w:tcPr>
          <w:p w14:paraId="702D8859">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婴幼儿托育服务与管理</w:t>
            </w:r>
          </w:p>
        </w:tc>
        <w:tc>
          <w:tcPr>
            <w:tcW w:w="1557" w:type="dxa"/>
            <w:tcBorders>
              <w:top w:val="nil"/>
              <w:left w:val="nil"/>
              <w:bottom w:val="single" w:color="auto" w:sz="4" w:space="0"/>
              <w:right w:val="single" w:color="auto" w:sz="4" w:space="0"/>
            </w:tcBorders>
            <w:noWrap/>
            <w:vAlign w:val="center"/>
          </w:tcPr>
          <w:p w14:paraId="1773CE6B">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sz w:val="32"/>
                <w:szCs w:val="32"/>
                <w:u w:val="none"/>
              </w:rPr>
            </w:pPr>
            <w:r>
              <w:rPr>
                <w:rFonts w:hint="eastAsia" w:ascii="仿宋" w:hAnsi="仿宋" w:eastAsia="仿宋" w:cs="仿宋"/>
                <w:color w:val="auto"/>
                <w:kern w:val="0"/>
                <w:sz w:val="32"/>
                <w:szCs w:val="32"/>
                <w:u w:val="none"/>
                <w:lang w:val="en-US" w:eastAsia="zh-CN" w:bidi="ar"/>
              </w:rPr>
              <w:t>5460</w:t>
            </w:r>
          </w:p>
        </w:tc>
      </w:tr>
      <w:tr w14:paraId="4733559C">
        <w:tblPrEx>
          <w:tblCellMar>
            <w:top w:w="0" w:type="dxa"/>
            <w:left w:w="108" w:type="dxa"/>
            <w:bottom w:w="0" w:type="dxa"/>
            <w:right w:w="108" w:type="dxa"/>
          </w:tblCellMar>
        </w:tblPrEx>
        <w:trPr>
          <w:trHeight w:val="646" w:hRule="atLeast"/>
          <w:jc w:val="center"/>
        </w:trPr>
        <w:tc>
          <w:tcPr>
            <w:tcW w:w="1627" w:type="dxa"/>
            <w:vMerge w:val="restart"/>
            <w:tcBorders>
              <w:top w:val="single" w:color="auto" w:sz="4" w:space="0"/>
              <w:left w:val="single" w:color="auto" w:sz="4" w:space="0"/>
              <w:right w:val="single" w:color="auto" w:sz="4" w:space="0"/>
            </w:tcBorders>
            <w:noWrap w:val="0"/>
            <w:vAlign w:val="center"/>
          </w:tcPr>
          <w:p w14:paraId="28F3A6F2">
            <w:pPr>
              <w:keepNext w:val="0"/>
              <w:keepLines w:val="0"/>
              <w:pageBreakBefore w:val="0"/>
              <w:widowControl/>
              <w:kinsoku/>
              <w:wordWrap/>
              <w:overflowPunct/>
              <w:topLinePunct w:val="0"/>
              <w:autoSpaceDE/>
              <w:autoSpaceDN/>
              <w:bidi w:val="0"/>
              <w:adjustRightInd/>
              <w:snapToGrid/>
              <w:spacing w:line="460" w:lineRule="exact"/>
              <w:jc w:val="center"/>
              <w:textAlignment w:val="center"/>
              <w:rPr>
                <w:rFonts w:hint="eastAsia" w:ascii="仿宋" w:hAnsi="仿宋" w:eastAsia="仿宋" w:cs="仿宋"/>
                <w:color w:val="auto"/>
                <w:kern w:val="0"/>
                <w:sz w:val="32"/>
                <w:szCs w:val="32"/>
                <w:u w:val="none"/>
                <w:lang w:eastAsia="zh-CN" w:bidi="ar"/>
              </w:rPr>
            </w:pPr>
            <w:r>
              <w:rPr>
                <w:rFonts w:hint="eastAsia" w:ascii="仿宋" w:hAnsi="仿宋" w:eastAsia="仿宋" w:cs="仿宋"/>
                <w:color w:val="auto"/>
                <w:kern w:val="0"/>
                <w:sz w:val="32"/>
                <w:szCs w:val="32"/>
                <w:u w:val="none"/>
                <w:lang w:eastAsia="zh-CN" w:bidi="ar"/>
              </w:rPr>
              <w:t>临床</w:t>
            </w:r>
          </w:p>
          <w:p w14:paraId="3ED93E92">
            <w:pPr>
              <w:keepNext w:val="0"/>
              <w:keepLines w:val="0"/>
              <w:pageBreakBefore w:val="0"/>
              <w:widowControl/>
              <w:kinsoku/>
              <w:wordWrap/>
              <w:overflowPunct/>
              <w:topLinePunct w:val="0"/>
              <w:autoSpaceDE/>
              <w:autoSpaceDN/>
              <w:bidi w:val="0"/>
              <w:adjustRightInd/>
              <w:snapToGrid/>
              <w:spacing w:line="460" w:lineRule="exact"/>
              <w:jc w:val="center"/>
              <w:textAlignment w:val="center"/>
              <w:rPr>
                <w:rFonts w:hint="eastAsia" w:ascii="仿宋" w:hAnsi="仿宋" w:eastAsia="仿宋" w:cs="仿宋"/>
                <w:color w:val="auto"/>
                <w:kern w:val="0"/>
                <w:sz w:val="32"/>
                <w:szCs w:val="32"/>
                <w:u w:val="none"/>
                <w:lang w:eastAsia="zh-CN"/>
              </w:rPr>
            </w:pPr>
            <w:r>
              <w:rPr>
                <w:rFonts w:hint="eastAsia" w:ascii="仿宋" w:hAnsi="仿宋" w:eastAsia="仿宋" w:cs="仿宋"/>
                <w:color w:val="auto"/>
                <w:kern w:val="0"/>
                <w:sz w:val="32"/>
                <w:szCs w:val="32"/>
                <w:u w:val="none"/>
                <w:lang w:eastAsia="zh-CN" w:bidi="ar"/>
              </w:rPr>
              <w:t>学院</w:t>
            </w:r>
          </w:p>
        </w:tc>
        <w:tc>
          <w:tcPr>
            <w:tcW w:w="5207" w:type="dxa"/>
            <w:tcBorders>
              <w:top w:val="single" w:color="auto" w:sz="4" w:space="0"/>
              <w:left w:val="nil"/>
              <w:bottom w:val="single" w:color="auto" w:sz="4" w:space="0"/>
              <w:right w:val="single" w:color="auto" w:sz="4" w:space="0"/>
            </w:tcBorders>
            <w:shd w:val="clear" w:color="auto" w:fill="auto"/>
            <w:noWrap/>
            <w:vAlign w:val="center"/>
          </w:tcPr>
          <w:p w14:paraId="3D459371">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医学美容技术</w:t>
            </w:r>
          </w:p>
        </w:tc>
        <w:tc>
          <w:tcPr>
            <w:tcW w:w="1557" w:type="dxa"/>
            <w:tcBorders>
              <w:top w:val="nil"/>
              <w:left w:val="nil"/>
              <w:bottom w:val="single" w:color="auto" w:sz="4" w:space="0"/>
              <w:right w:val="single" w:color="auto" w:sz="4" w:space="0"/>
            </w:tcBorders>
            <w:shd w:val="clear" w:color="auto" w:fill="auto"/>
            <w:noWrap/>
            <w:vAlign w:val="center"/>
          </w:tcPr>
          <w:p w14:paraId="1620537B">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kern w:val="0"/>
                <w:sz w:val="32"/>
                <w:szCs w:val="32"/>
                <w:u w:val="none"/>
                <w:lang w:val="en-US" w:eastAsia="zh-CN" w:bidi="ar"/>
              </w:rPr>
              <w:t>5460</w:t>
            </w:r>
          </w:p>
        </w:tc>
      </w:tr>
      <w:tr w14:paraId="198E370F">
        <w:tblPrEx>
          <w:tblCellMar>
            <w:top w:w="0" w:type="dxa"/>
            <w:left w:w="108" w:type="dxa"/>
            <w:bottom w:w="0" w:type="dxa"/>
            <w:right w:w="108" w:type="dxa"/>
          </w:tblCellMar>
        </w:tblPrEx>
        <w:trPr>
          <w:trHeight w:val="501" w:hRule="atLeast"/>
          <w:jc w:val="center"/>
        </w:trPr>
        <w:tc>
          <w:tcPr>
            <w:tcW w:w="1627" w:type="dxa"/>
            <w:vMerge w:val="continue"/>
            <w:tcBorders>
              <w:left w:val="single" w:color="auto" w:sz="4" w:space="0"/>
              <w:right w:val="single" w:color="auto" w:sz="4" w:space="0"/>
            </w:tcBorders>
            <w:noWrap w:val="0"/>
            <w:vAlign w:val="center"/>
          </w:tcPr>
          <w:p w14:paraId="73D4ACDA">
            <w:pPr>
              <w:keepNext w:val="0"/>
              <w:keepLines w:val="0"/>
              <w:pageBreakBefore w:val="0"/>
              <w:widowControl/>
              <w:kinsoku/>
              <w:wordWrap/>
              <w:overflowPunct/>
              <w:topLinePunct w:val="0"/>
              <w:autoSpaceDE/>
              <w:autoSpaceDN/>
              <w:bidi w:val="0"/>
              <w:adjustRightInd/>
              <w:snapToGrid/>
              <w:spacing w:line="460" w:lineRule="exact"/>
              <w:jc w:val="center"/>
              <w:rPr>
                <w:rFonts w:hint="eastAsia" w:ascii="仿宋" w:hAnsi="仿宋" w:eastAsia="仿宋" w:cs="仿宋"/>
                <w:color w:val="auto"/>
                <w:kern w:val="0"/>
                <w:sz w:val="32"/>
                <w:szCs w:val="32"/>
                <w:u w:val="none"/>
              </w:rPr>
            </w:pPr>
          </w:p>
        </w:tc>
        <w:tc>
          <w:tcPr>
            <w:tcW w:w="5207" w:type="dxa"/>
            <w:tcBorders>
              <w:top w:val="nil"/>
              <w:left w:val="nil"/>
              <w:bottom w:val="single" w:color="auto" w:sz="4" w:space="0"/>
              <w:right w:val="single" w:color="auto" w:sz="4" w:space="0"/>
            </w:tcBorders>
            <w:shd w:val="clear" w:color="auto" w:fill="auto"/>
            <w:noWrap/>
            <w:vAlign w:val="center"/>
          </w:tcPr>
          <w:p w14:paraId="04DF8F11">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口腔医学技术</w:t>
            </w:r>
          </w:p>
        </w:tc>
        <w:tc>
          <w:tcPr>
            <w:tcW w:w="1557" w:type="dxa"/>
            <w:tcBorders>
              <w:top w:val="nil"/>
              <w:left w:val="nil"/>
              <w:bottom w:val="single" w:color="auto" w:sz="4" w:space="0"/>
              <w:right w:val="single" w:color="auto" w:sz="4" w:space="0"/>
            </w:tcBorders>
            <w:shd w:val="clear" w:color="auto" w:fill="auto"/>
            <w:noWrap/>
            <w:vAlign w:val="center"/>
          </w:tcPr>
          <w:p w14:paraId="418D9D6F">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kern w:val="0"/>
                <w:sz w:val="32"/>
                <w:szCs w:val="32"/>
                <w:u w:val="none"/>
                <w:lang w:val="en-US" w:eastAsia="zh-CN" w:bidi="ar"/>
              </w:rPr>
              <w:t>5460</w:t>
            </w:r>
          </w:p>
        </w:tc>
      </w:tr>
      <w:tr w14:paraId="1278CC9B">
        <w:tblPrEx>
          <w:tblCellMar>
            <w:top w:w="0" w:type="dxa"/>
            <w:left w:w="108" w:type="dxa"/>
            <w:bottom w:w="0" w:type="dxa"/>
            <w:right w:w="108" w:type="dxa"/>
          </w:tblCellMar>
        </w:tblPrEx>
        <w:trPr>
          <w:trHeight w:val="501" w:hRule="atLeast"/>
          <w:jc w:val="center"/>
        </w:trPr>
        <w:tc>
          <w:tcPr>
            <w:tcW w:w="1627" w:type="dxa"/>
            <w:vMerge w:val="continue"/>
            <w:tcBorders>
              <w:left w:val="single" w:color="auto" w:sz="4" w:space="0"/>
              <w:right w:val="single" w:color="auto" w:sz="4" w:space="0"/>
            </w:tcBorders>
            <w:noWrap w:val="0"/>
            <w:vAlign w:val="center"/>
          </w:tcPr>
          <w:p w14:paraId="14B353D8">
            <w:pPr>
              <w:keepNext w:val="0"/>
              <w:keepLines w:val="0"/>
              <w:pageBreakBefore w:val="0"/>
              <w:widowControl/>
              <w:kinsoku/>
              <w:wordWrap/>
              <w:overflowPunct/>
              <w:topLinePunct w:val="0"/>
              <w:autoSpaceDE/>
              <w:autoSpaceDN/>
              <w:bidi w:val="0"/>
              <w:adjustRightInd/>
              <w:snapToGrid/>
              <w:spacing w:line="460" w:lineRule="exact"/>
              <w:jc w:val="center"/>
              <w:rPr>
                <w:rFonts w:hint="eastAsia" w:ascii="仿宋" w:hAnsi="仿宋" w:eastAsia="仿宋" w:cs="仿宋"/>
                <w:color w:val="auto"/>
                <w:kern w:val="0"/>
                <w:sz w:val="32"/>
                <w:szCs w:val="32"/>
                <w:u w:val="none"/>
              </w:rPr>
            </w:pPr>
          </w:p>
        </w:tc>
        <w:tc>
          <w:tcPr>
            <w:tcW w:w="5207" w:type="dxa"/>
            <w:tcBorders>
              <w:top w:val="nil"/>
              <w:left w:val="nil"/>
              <w:bottom w:val="single" w:color="auto" w:sz="4" w:space="0"/>
              <w:right w:val="single" w:color="auto" w:sz="4" w:space="0"/>
            </w:tcBorders>
            <w:shd w:val="clear" w:color="auto" w:fill="auto"/>
            <w:noWrap/>
            <w:vAlign w:val="center"/>
          </w:tcPr>
          <w:p w14:paraId="124CB201">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眼视光技术</w:t>
            </w:r>
          </w:p>
        </w:tc>
        <w:tc>
          <w:tcPr>
            <w:tcW w:w="1557" w:type="dxa"/>
            <w:tcBorders>
              <w:top w:val="nil"/>
              <w:left w:val="nil"/>
              <w:bottom w:val="single" w:color="auto" w:sz="4" w:space="0"/>
              <w:right w:val="single" w:color="auto" w:sz="4" w:space="0"/>
            </w:tcBorders>
            <w:shd w:val="clear" w:color="auto" w:fill="auto"/>
            <w:noWrap/>
            <w:vAlign w:val="center"/>
          </w:tcPr>
          <w:p w14:paraId="53D382A9">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kern w:val="0"/>
                <w:sz w:val="32"/>
                <w:szCs w:val="32"/>
                <w:u w:val="none"/>
                <w:lang w:val="en-US" w:eastAsia="zh-CN" w:bidi="ar"/>
              </w:rPr>
              <w:t>5460</w:t>
            </w:r>
          </w:p>
        </w:tc>
      </w:tr>
      <w:tr w14:paraId="3E111F49">
        <w:tblPrEx>
          <w:tblCellMar>
            <w:top w:w="0" w:type="dxa"/>
            <w:left w:w="108" w:type="dxa"/>
            <w:bottom w:w="0" w:type="dxa"/>
            <w:right w:w="108" w:type="dxa"/>
          </w:tblCellMar>
        </w:tblPrEx>
        <w:trPr>
          <w:trHeight w:val="501" w:hRule="atLeast"/>
          <w:jc w:val="center"/>
        </w:trPr>
        <w:tc>
          <w:tcPr>
            <w:tcW w:w="1627" w:type="dxa"/>
            <w:vMerge w:val="continue"/>
            <w:tcBorders>
              <w:left w:val="single" w:color="auto" w:sz="4" w:space="0"/>
              <w:right w:val="single" w:color="auto" w:sz="4" w:space="0"/>
            </w:tcBorders>
            <w:noWrap w:val="0"/>
            <w:vAlign w:val="center"/>
          </w:tcPr>
          <w:p w14:paraId="071292AC">
            <w:pPr>
              <w:keepNext w:val="0"/>
              <w:keepLines w:val="0"/>
              <w:pageBreakBefore w:val="0"/>
              <w:widowControl/>
              <w:kinsoku/>
              <w:wordWrap/>
              <w:overflowPunct/>
              <w:topLinePunct w:val="0"/>
              <w:autoSpaceDE/>
              <w:autoSpaceDN/>
              <w:bidi w:val="0"/>
              <w:adjustRightInd/>
              <w:snapToGrid/>
              <w:spacing w:line="460" w:lineRule="exact"/>
              <w:jc w:val="center"/>
              <w:rPr>
                <w:rFonts w:hint="eastAsia" w:ascii="仿宋" w:hAnsi="仿宋" w:eastAsia="仿宋" w:cs="仿宋"/>
                <w:color w:val="auto"/>
                <w:kern w:val="0"/>
                <w:sz w:val="32"/>
                <w:szCs w:val="32"/>
                <w:u w:val="none"/>
              </w:rPr>
            </w:pPr>
          </w:p>
        </w:tc>
        <w:tc>
          <w:tcPr>
            <w:tcW w:w="5207" w:type="dxa"/>
            <w:tcBorders>
              <w:top w:val="nil"/>
              <w:left w:val="nil"/>
              <w:bottom w:val="single" w:color="auto" w:sz="4" w:space="0"/>
              <w:right w:val="single" w:color="auto" w:sz="4" w:space="0"/>
            </w:tcBorders>
            <w:shd w:val="clear" w:color="auto" w:fill="auto"/>
            <w:noWrap/>
            <w:vAlign w:val="center"/>
          </w:tcPr>
          <w:p w14:paraId="096148E8">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预防医学</w:t>
            </w:r>
          </w:p>
        </w:tc>
        <w:tc>
          <w:tcPr>
            <w:tcW w:w="1557" w:type="dxa"/>
            <w:tcBorders>
              <w:top w:val="nil"/>
              <w:left w:val="nil"/>
              <w:bottom w:val="single" w:color="auto" w:sz="4" w:space="0"/>
              <w:right w:val="single" w:color="auto" w:sz="4" w:space="0"/>
            </w:tcBorders>
            <w:shd w:val="clear" w:color="auto" w:fill="auto"/>
            <w:noWrap/>
            <w:vAlign w:val="center"/>
          </w:tcPr>
          <w:p w14:paraId="2DEE7A59">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kern w:val="0"/>
                <w:sz w:val="32"/>
                <w:szCs w:val="32"/>
                <w:u w:val="none"/>
                <w:lang w:val="en-US" w:eastAsia="zh-CN" w:bidi="ar"/>
              </w:rPr>
              <w:t>5460</w:t>
            </w:r>
          </w:p>
        </w:tc>
      </w:tr>
      <w:tr w14:paraId="35657808">
        <w:tblPrEx>
          <w:tblCellMar>
            <w:top w:w="0" w:type="dxa"/>
            <w:left w:w="108" w:type="dxa"/>
            <w:bottom w:w="0" w:type="dxa"/>
            <w:right w:w="108" w:type="dxa"/>
          </w:tblCellMar>
        </w:tblPrEx>
        <w:trPr>
          <w:trHeight w:val="501" w:hRule="atLeast"/>
          <w:jc w:val="center"/>
        </w:trPr>
        <w:tc>
          <w:tcPr>
            <w:tcW w:w="1627" w:type="dxa"/>
            <w:vMerge w:val="restart"/>
            <w:tcBorders>
              <w:top w:val="single" w:color="auto" w:sz="4" w:space="0"/>
              <w:left w:val="single" w:color="auto" w:sz="4" w:space="0"/>
              <w:right w:val="single" w:color="auto" w:sz="4" w:space="0"/>
            </w:tcBorders>
            <w:noWrap/>
            <w:vAlign w:val="center"/>
          </w:tcPr>
          <w:p w14:paraId="4F64EF5F">
            <w:pPr>
              <w:keepNext w:val="0"/>
              <w:keepLines w:val="0"/>
              <w:pageBreakBefore w:val="0"/>
              <w:widowControl/>
              <w:kinsoku/>
              <w:wordWrap/>
              <w:overflowPunct/>
              <w:topLinePunct w:val="0"/>
              <w:autoSpaceDE/>
              <w:autoSpaceDN/>
              <w:bidi w:val="0"/>
              <w:adjustRightInd/>
              <w:snapToGrid/>
              <w:spacing w:line="460" w:lineRule="exact"/>
              <w:jc w:val="center"/>
              <w:textAlignment w:val="center"/>
              <w:rPr>
                <w:rFonts w:hint="eastAsia" w:ascii="仿宋" w:hAnsi="仿宋" w:eastAsia="仿宋" w:cs="仿宋"/>
                <w:color w:val="auto"/>
                <w:kern w:val="0"/>
                <w:sz w:val="32"/>
                <w:szCs w:val="32"/>
                <w:u w:val="none"/>
                <w:lang w:eastAsia="zh-CN" w:bidi="ar"/>
              </w:rPr>
            </w:pPr>
            <w:r>
              <w:rPr>
                <w:rFonts w:hint="eastAsia" w:ascii="仿宋" w:hAnsi="仿宋" w:eastAsia="仿宋" w:cs="仿宋"/>
                <w:color w:val="auto"/>
                <w:kern w:val="0"/>
                <w:sz w:val="32"/>
                <w:szCs w:val="32"/>
                <w:u w:val="none"/>
                <w:lang w:eastAsia="zh-CN" w:bidi="ar"/>
              </w:rPr>
              <w:t>医技</w:t>
            </w:r>
          </w:p>
          <w:p w14:paraId="0187E716">
            <w:pPr>
              <w:keepNext w:val="0"/>
              <w:keepLines w:val="0"/>
              <w:pageBreakBefore w:val="0"/>
              <w:widowControl/>
              <w:kinsoku/>
              <w:wordWrap/>
              <w:overflowPunct/>
              <w:topLinePunct w:val="0"/>
              <w:autoSpaceDE/>
              <w:autoSpaceDN/>
              <w:bidi w:val="0"/>
              <w:adjustRightInd/>
              <w:snapToGrid/>
              <w:spacing w:line="460" w:lineRule="exact"/>
              <w:jc w:val="center"/>
              <w:textAlignment w:val="center"/>
              <w:rPr>
                <w:rFonts w:hint="eastAsia" w:ascii="仿宋" w:hAnsi="仿宋" w:eastAsia="仿宋" w:cs="仿宋"/>
                <w:color w:val="auto"/>
                <w:kern w:val="0"/>
                <w:sz w:val="32"/>
                <w:szCs w:val="32"/>
                <w:u w:val="none"/>
                <w:lang w:eastAsia="zh-CN" w:bidi="ar"/>
              </w:rPr>
            </w:pPr>
            <w:r>
              <w:rPr>
                <w:rFonts w:hint="eastAsia" w:ascii="仿宋" w:hAnsi="仿宋" w:eastAsia="仿宋" w:cs="仿宋"/>
                <w:color w:val="auto"/>
                <w:kern w:val="0"/>
                <w:sz w:val="32"/>
                <w:szCs w:val="32"/>
                <w:u w:val="none"/>
                <w:lang w:eastAsia="zh-CN" w:bidi="ar"/>
              </w:rPr>
              <w:t>学院</w:t>
            </w:r>
          </w:p>
        </w:tc>
        <w:tc>
          <w:tcPr>
            <w:tcW w:w="5207" w:type="dxa"/>
            <w:tcBorders>
              <w:top w:val="single" w:color="auto" w:sz="4" w:space="0"/>
              <w:left w:val="nil"/>
              <w:bottom w:val="single" w:color="auto" w:sz="4" w:space="0"/>
              <w:right w:val="single" w:color="auto" w:sz="4" w:space="0"/>
            </w:tcBorders>
            <w:noWrap/>
            <w:vAlign w:val="center"/>
          </w:tcPr>
          <w:p w14:paraId="429BFE5F">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康复治疗技术</w:t>
            </w:r>
          </w:p>
        </w:tc>
        <w:tc>
          <w:tcPr>
            <w:tcW w:w="1557" w:type="dxa"/>
            <w:tcBorders>
              <w:top w:val="nil"/>
              <w:left w:val="nil"/>
              <w:bottom w:val="single" w:color="auto" w:sz="4" w:space="0"/>
              <w:right w:val="single" w:color="auto" w:sz="4" w:space="0"/>
            </w:tcBorders>
            <w:noWrap/>
            <w:vAlign w:val="center"/>
          </w:tcPr>
          <w:p w14:paraId="140FC828">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sz w:val="32"/>
                <w:szCs w:val="32"/>
                <w:u w:val="none"/>
              </w:rPr>
            </w:pPr>
            <w:r>
              <w:rPr>
                <w:rFonts w:hint="eastAsia" w:ascii="仿宋" w:hAnsi="仿宋" w:eastAsia="仿宋" w:cs="仿宋"/>
                <w:color w:val="auto"/>
                <w:kern w:val="0"/>
                <w:sz w:val="32"/>
                <w:szCs w:val="32"/>
                <w:u w:val="none"/>
                <w:lang w:val="en-US" w:eastAsia="zh-CN" w:bidi="ar"/>
              </w:rPr>
              <w:t>5460</w:t>
            </w:r>
          </w:p>
        </w:tc>
      </w:tr>
      <w:tr w14:paraId="3F485A84">
        <w:tblPrEx>
          <w:tblCellMar>
            <w:top w:w="0" w:type="dxa"/>
            <w:left w:w="108" w:type="dxa"/>
            <w:bottom w:w="0" w:type="dxa"/>
            <w:right w:w="108" w:type="dxa"/>
          </w:tblCellMar>
        </w:tblPrEx>
        <w:trPr>
          <w:trHeight w:val="501" w:hRule="atLeast"/>
          <w:jc w:val="center"/>
        </w:trPr>
        <w:tc>
          <w:tcPr>
            <w:tcW w:w="1627" w:type="dxa"/>
            <w:vMerge w:val="continue"/>
            <w:tcBorders>
              <w:left w:val="single" w:color="auto" w:sz="4" w:space="0"/>
              <w:right w:val="single" w:color="auto" w:sz="4" w:space="0"/>
            </w:tcBorders>
            <w:noWrap/>
            <w:vAlign w:val="center"/>
          </w:tcPr>
          <w:p w14:paraId="006A1F09">
            <w:pPr>
              <w:keepNext w:val="0"/>
              <w:keepLines w:val="0"/>
              <w:pageBreakBefore w:val="0"/>
              <w:widowControl/>
              <w:kinsoku/>
              <w:wordWrap/>
              <w:overflowPunct/>
              <w:topLinePunct w:val="0"/>
              <w:autoSpaceDE/>
              <w:autoSpaceDN/>
              <w:bidi w:val="0"/>
              <w:adjustRightInd/>
              <w:snapToGrid/>
              <w:spacing w:line="460" w:lineRule="exact"/>
              <w:jc w:val="center"/>
              <w:textAlignment w:val="center"/>
              <w:rPr>
                <w:rFonts w:hint="eastAsia" w:ascii="仿宋" w:hAnsi="仿宋" w:eastAsia="仿宋" w:cs="仿宋"/>
                <w:color w:val="auto"/>
                <w:kern w:val="0"/>
                <w:sz w:val="32"/>
                <w:szCs w:val="32"/>
                <w:u w:val="none"/>
                <w:lang w:bidi="ar"/>
              </w:rPr>
            </w:pPr>
          </w:p>
        </w:tc>
        <w:tc>
          <w:tcPr>
            <w:tcW w:w="5207" w:type="dxa"/>
            <w:tcBorders>
              <w:top w:val="nil"/>
              <w:left w:val="nil"/>
              <w:bottom w:val="single" w:color="auto" w:sz="4" w:space="0"/>
              <w:right w:val="single" w:color="auto" w:sz="4" w:space="0"/>
            </w:tcBorders>
            <w:noWrap/>
            <w:vAlign w:val="center"/>
          </w:tcPr>
          <w:p w14:paraId="437B288B">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药学</w:t>
            </w:r>
          </w:p>
        </w:tc>
        <w:tc>
          <w:tcPr>
            <w:tcW w:w="1557" w:type="dxa"/>
            <w:tcBorders>
              <w:top w:val="nil"/>
              <w:left w:val="nil"/>
              <w:bottom w:val="single" w:color="auto" w:sz="4" w:space="0"/>
              <w:right w:val="single" w:color="auto" w:sz="4" w:space="0"/>
            </w:tcBorders>
            <w:noWrap/>
            <w:vAlign w:val="center"/>
          </w:tcPr>
          <w:p w14:paraId="05CBF00C">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sz w:val="32"/>
                <w:szCs w:val="32"/>
                <w:u w:val="none"/>
              </w:rPr>
            </w:pPr>
            <w:r>
              <w:rPr>
                <w:rFonts w:hint="eastAsia" w:ascii="仿宋" w:hAnsi="仿宋" w:eastAsia="仿宋" w:cs="仿宋"/>
                <w:color w:val="auto"/>
                <w:kern w:val="0"/>
                <w:sz w:val="32"/>
                <w:szCs w:val="32"/>
                <w:u w:val="none"/>
                <w:lang w:val="en-US" w:eastAsia="zh-CN" w:bidi="ar"/>
              </w:rPr>
              <w:t>5460</w:t>
            </w:r>
          </w:p>
        </w:tc>
      </w:tr>
      <w:tr w14:paraId="349DA86E">
        <w:tblPrEx>
          <w:tblCellMar>
            <w:top w:w="0" w:type="dxa"/>
            <w:left w:w="108" w:type="dxa"/>
            <w:bottom w:w="0" w:type="dxa"/>
            <w:right w:w="108" w:type="dxa"/>
          </w:tblCellMar>
        </w:tblPrEx>
        <w:trPr>
          <w:trHeight w:val="501" w:hRule="atLeast"/>
          <w:jc w:val="center"/>
        </w:trPr>
        <w:tc>
          <w:tcPr>
            <w:tcW w:w="1627" w:type="dxa"/>
            <w:vMerge w:val="continue"/>
            <w:tcBorders>
              <w:left w:val="single" w:color="auto" w:sz="4" w:space="0"/>
              <w:right w:val="single" w:color="auto" w:sz="4" w:space="0"/>
            </w:tcBorders>
            <w:noWrap/>
            <w:vAlign w:val="center"/>
          </w:tcPr>
          <w:p w14:paraId="0C5FBECC">
            <w:pPr>
              <w:keepNext w:val="0"/>
              <w:keepLines w:val="0"/>
              <w:pageBreakBefore w:val="0"/>
              <w:widowControl/>
              <w:kinsoku/>
              <w:wordWrap/>
              <w:overflowPunct/>
              <w:topLinePunct w:val="0"/>
              <w:autoSpaceDE/>
              <w:autoSpaceDN/>
              <w:bidi w:val="0"/>
              <w:adjustRightInd/>
              <w:snapToGrid/>
              <w:spacing w:line="460" w:lineRule="exact"/>
              <w:jc w:val="center"/>
              <w:textAlignment w:val="center"/>
              <w:rPr>
                <w:rFonts w:hint="eastAsia" w:ascii="仿宋" w:hAnsi="仿宋" w:eastAsia="仿宋" w:cs="仿宋"/>
                <w:color w:val="auto"/>
                <w:kern w:val="0"/>
                <w:sz w:val="32"/>
                <w:szCs w:val="32"/>
                <w:u w:val="none"/>
                <w:lang w:bidi="ar"/>
              </w:rPr>
            </w:pPr>
          </w:p>
        </w:tc>
        <w:tc>
          <w:tcPr>
            <w:tcW w:w="5207" w:type="dxa"/>
            <w:tcBorders>
              <w:top w:val="nil"/>
              <w:left w:val="nil"/>
              <w:bottom w:val="single" w:color="auto" w:sz="4" w:space="0"/>
              <w:right w:val="single" w:color="auto" w:sz="4" w:space="0"/>
            </w:tcBorders>
            <w:noWrap/>
            <w:vAlign w:val="center"/>
          </w:tcPr>
          <w:p w14:paraId="57B91E7D">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医学检验技术</w:t>
            </w:r>
          </w:p>
        </w:tc>
        <w:tc>
          <w:tcPr>
            <w:tcW w:w="1557" w:type="dxa"/>
            <w:tcBorders>
              <w:top w:val="nil"/>
              <w:left w:val="nil"/>
              <w:bottom w:val="single" w:color="auto" w:sz="4" w:space="0"/>
              <w:right w:val="single" w:color="auto" w:sz="4" w:space="0"/>
            </w:tcBorders>
            <w:noWrap/>
            <w:vAlign w:val="center"/>
          </w:tcPr>
          <w:p w14:paraId="457677C8">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sz w:val="32"/>
                <w:szCs w:val="32"/>
                <w:u w:val="none"/>
              </w:rPr>
            </w:pPr>
            <w:r>
              <w:rPr>
                <w:rFonts w:hint="eastAsia" w:ascii="仿宋" w:hAnsi="仿宋" w:eastAsia="仿宋" w:cs="仿宋"/>
                <w:color w:val="auto"/>
                <w:kern w:val="0"/>
                <w:sz w:val="32"/>
                <w:szCs w:val="32"/>
                <w:u w:val="none"/>
                <w:lang w:val="en-US" w:eastAsia="zh-CN" w:bidi="ar"/>
              </w:rPr>
              <w:t>5460</w:t>
            </w:r>
          </w:p>
        </w:tc>
      </w:tr>
      <w:tr w14:paraId="6A11A51B">
        <w:tblPrEx>
          <w:tblCellMar>
            <w:top w:w="0" w:type="dxa"/>
            <w:left w:w="108" w:type="dxa"/>
            <w:bottom w:w="0" w:type="dxa"/>
            <w:right w:w="108" w:type="dxa"/>
          </w:tblCellMar>
        </w:tblPrEx>
        <w:trPr>
          <w:trHeight w:val="501" w:hRule="atLeast"/>
          <w:jc w:val="center"/>
        </w:trPr>
        <w:tc>
          <w:tcPr>
            <w:tcW w:w="1627" w:type="dxa"/>
            <w:vMerge w:val="continue"/>
            <w:tcBorders>
              <w:left w:val="single" w:color="auto" w:sz="4" w:space="0"/>
              <w:right w:val="single" w:color="auto" w:sz="4" w:space="0"/>
            </w:tcBorders>
            <w:noWrap/>
            <w:vAlign w:val="center"/>
          </w:tcPr>
          <w:p w14:paraId="5E060376">
            <w:pPr>
              <w:keepNext w:val="0"/>
              <w:keepLines w:val="0"/>
              <w:pageBreakBefore w:val="0"/>
              <w:widowControl/>
              <w:kinsoku/>
              <w:wordWrap/>
              <w:overflowPunct/>
              <w:topLinePunct w:val="0"/>
              <w:autoSpaceDE/>
              <w:autoSpaceDN/>
              <w:bidi w:val="0"/>
              <w:adjustRightInd/>
              <w:snapToGrid/>
              <w:spacing w:line="460" w:lineRule="exact"/>
              <w:jc w:val="center"/>
              <w:textAlignment w:val="center"/>
              <w:rPr>
                <w:rFonts w:hint="eastAsia" w:ascii="仿宋" w:hAnsi="仿宋" w:eastAsia="仿宋" w:cs="仿宋"/>
                <w:color w:val="auto"/>
                <w:kern w:val="0"/>
                <w:sz w:val="32"/>
                <w:szCs w:val="32"/>
                <w:u w:val="none"/>
                <w:lang w:bidi="ar"/>
              </w:rPr>
            </w:pPr>
          </w:p>
        </w:tc>
        <w:tc>
          <w:tcPr>
            <w:tcW w:w="5207" w:type="dxa"/>
            <w:tcBorders>
              <w:top w:val="nil"/>
              <w:left w:val="nil"/>
              <w:bottom w:val="single" w:color="auto" w:sz="4" w:space="0"/>
              <w:right w:val="single" w:color="auto" w:sz="4" w:space="0"/>
            </w:tcBorders>
            <w:noWrap/>
            <w:vAlign w:val="center"/>
          </w:tcPr>
          <w:p w14:paraId="2EDA646B">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b/>
                <w:bCs/>
                <w:color w:val="auto"/>
                <w:kern w:val="2"/>
                <w:sz w:val="32"/>
                <w:szCs w:val="32"/>
                <w:u w:val="none"/>
                <w:lang w:val="en-US" w:eastAsia="zh-CN" w:bidi="ar-SA"/>
              </w:rPr>
            </w:pPr>
            <w:r>
              <w:rPr>
                <w:rFonts w:hint="eastAsia" w:ascii="仿宋" w:hAnsi="仿宋" w:eastAsia="仿宋" w:cs="仿宋"/>
                <w:color w:val="auto"/>
                <w:sz w:val="32"/>
                <w:szCs w:val="32"/>
                <w:u w:val="none"/>
              </w:rPr>
              <w:t>中药学</w:t>
            </w:r>
          </w:p>
        </w:tc>
        <w:tc>
          <w:tcPr>
            <w:tcW w:w="1557" w:type="dxa"/>
            <w:tcBorders>
              <w:top w:val="nil"/>
              <w:left w:val="nil"/>
              <w:bottom w:val="single" w:color="auto" w:sz="4" w:space="0"/>
              <w:right w:val="single" w:color="auto" w:sz="4" w:space="0"/>
            </w:tcBorders>
            <w:noWrap/>
            <w:vAlign w:val="center"/>
          </w:tcPr>
          <w:p w14:paraId="500B2966">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b/>
                <w:bCs/>
                <w:color w:val="auto"/>
                <w:sz w:val="32"/>
                <w:szCs w:val="32"/>
                <w:u w:val="none"/>
              </w:rPr>
            </w:pPr>
            <w:r>
              <w:rPr>
                <w:rFonts w:hint="eastAsia" w:ascii="仿宋" w:hAnsi="仿宋" w:eastAsia="仿宋" w:cs="仿宋"/>
                <w:b w:val="0"/>
                <w:bCs w:val="0"/>
                <w:color w:val="auto"/>
                <w:kern w:val="0"/>
                <w:sz w:val="32"/>
                <w:szCs w:val="32"/>
                <w:u w:val="none"/>
                <w:lang w:val="en-US" w:eastAsia="zh-CN" w:bidi="ar"/>
              </w:rPr>
              <w:t>5460</w:t>
            </w:r>
          </w:p>
        </w:tc>
      </w:tr>
      <w:tr w14:paraId="5586C709">
        <w:tblPrEx>
          <w:tblCellMar>
            <w:top w:w="0" w:type="dxa"/>
            <w:left w:w="108" w:type="dxa"/>
            <w:bottom w:w="0" w:type="dxa"/>
            <w:right w:w="108" w:type="dxa"/>
          </w:tblCellMar>
        </w:tblPrEx>
        <w:trPr>
          <w:trHeight w:val="501" w:hRule="atLeast"/>
          <w:jc w:val="center"/>
        </w:trPr>
        <w:tc>
          <w:tcPr>
            <w:tcW w:w="1627" w:type="dxa"/>
            <w:vMerge w:val="restart"/>
            <w:tcBorders>
              <w:top w:val="single" w:color="auto" w:sz="4" w:space="0"/>
              <w:left w:val="single" w:color="auto" w:sz="4" w:space="0"/>
              <w:right w:val="single" w:color="auto" w:sz="4" w:space="0"/>
            </w:tcBorders>
            <w:noWrap w:val="0"/>
            <w:vAlign w:val="center"/>
          </w:tcPr>
          <w:p w14:paraId="3EF7313F">
            <w:pPr>
              <w:keepNext w:val="0"/>
              <w:keepLines w:val="0"/>
              <w:pageBreakBefore w:val="0"/>
              <w:widowControl/>
              <w:kinsoku/>
              <w:wordWrap/>
              <w:overflowPunct/>
              <w:topLinePunct w:val="0"/>
              <w:autoSpaceDE/>
              <w:autoSpaceDN/>
              <w:bidi w:val="0"/>
              <w:adjustRightInd/>
              <w:snapToGrid/>
              <w:spacing w:line="460" w:lineRule="exact"/>
              <w:jc w:val="center"/>
              <w:rPr>
                <w:rFonts w:hint="eastAsia" w:ascii="仿宋" w:hAnsi="仿宋" w:eastAsia="仿宋" w:cs="仿宋"/>
                <w:color w:val="auto"/>
                <w:kern w:val="0"/>
                <w:sz w:val="32"/>
                <w:szCs w:val="32"/>
                <w:u w:val="none"/>
                <w:lang w:eastAsia="zh-CN"/>
              </w:rPr>
            </w:pPr>
            <w:r>
              <w:rPr>
                <w:rFonts w:hint="eastAsia" w:ascii="仿宋" w:hAnsi="仿宋" w:eastAsia="仿宋" w:cs="仿宋"/>
                <w:color w:val="auto"/>
                <w:kern w:val="0"/>
                <w:sz w:val="32"/>
                <w:szCs w:val="32"/>
                <w:u w:val="none"/>
                <w:lang w:eastAsia="zh-CN"/>
              </w:rPr>
              <w:t>医管</w:t>
            </w:r>
          </w:p>
          <w:p w14:paraId="6901597F">
            <w:pPr>
              <w:keepNext w:val="0"/>
              <w:keepLines w:val="0"/>
              <w:pageBreakBefore w:val="0"/>
              <w:widowControl/>
              <w:kinsoku/>
              <w:wordWrap/>
              <w:overflowPunct/>
              <w:topLinePunct w:val="0"/>
              <w:autoSpaceDE/>
              <w:autoSpaceDN/>
              <w:bidi w:val="0"/>
              <w:adjustRightInd/>
              <w:snapToGrid/>
              <w:spacing w:line="460" w:lineRule="exact"/>
              <w:jc w:val="center"/>
              <w:rPr>
                <w:rFonts w:hint="eastAsia" w:ascii="仿宋" w:hAnsi="仿宋" w:eastAsia="仿宋" w:cs="仿宋"/>
                <w:color w:val="auto"/>
                <w:kern w:val="0"/>
                <w:sz w:val="32"/>
                <w:szCs w:val="32"/>
                <w:u w:val="none"/>
                <w:lang w:eastAsia="zh-CN"/>
              </w:rPr>
            </w:pPr>
            <w:r>
              <w:rPr>
                <w:rFonts w:hint="eastAsia" w:ascii="仿宋" w:hAnsi="仿宋" w:eastAsia="仿宋" w:cs="仿宋"/>
                <w:color w:val="auto"/>
                <w:kern w:val="0"/>
                <w:sz w:val="32"/>
                <w:szCs w:val="32"/>
                <w:u w:val="none"/>
                <w:lang w:eastAsia="zh-CN"/>
              </w:rPr>
              <w:t>学院</w:t>
            </w:r>
          </w:p>
        </w:tc>
        <w:tc>
          <w:tcPr>
            <w:tcW w:w="5207" w:type="dxa"/>
            <w:tcBorders>
              <w:top w:val="single" w:color="auto" w:sz="4" w:space="0"/>
              <w:left w:val="nil"/>
              <w:bottom w:val="single" w:color="auto" w:sz="4" w:space="0"/>
              <w:right w:val="single" w:color="auto" w:sz="4" w:space="0"/>
            </w:tcBorders>
            <w:noWrap/>
            <w:vAlign w:val="center"/>
          </w:tcPr>
          <w:p w14:paraId="15EEAC42">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医疗器械维护与管理</w:t>
            </w:r>
          </w:p>
        </w:tc>
        <w:tc>
          <w:tcPr>
            <w:tcW w:w="1557" w:type="dxa"/>
            <w:tcBorders>
              <w:top w:val="nil"/>
              <w:left w:val="nil"/>
              <w:bottom w:val="single" w:color="auto" w:sz="4" w:space="0"/>
              <w:right w:val="single" w:color="auto" w:sz="4" w:space="0"/>
            </w:tcBorders>
            <w:noWrap/>
            <w:vAlign w:val="center"/>
          </w:tcPr>
          <w:p w14:paraId="73917DC4">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sz w:val="32"/>
                <w:szCs w:val="32"/>
                <w:u w:val="none"/>
              </w:rPr>
            </w:pPr>
            <w:r>
              <w:rPr>
                <w:rFonts w:hint="eastAsia" w:ascii="仿宋" w:hAnsi="仿宋" w:eastAsia="仿宋" w:cs="仿宋"/>
                <w:color w:val="auto"/>
                <w:kern w:val="0"/>
                <w:sz w:val="32"/>
                <w:szCs w:val="32"/>
                <w:u w:val="none"/>
                <w:lang w:val="en-US" w:eastAsia="zh-CN" w:bidi="ar"/>
              </w:rPr>
              <w:t>5460</w:t>
            </w:r>
          </w:p>
        </w:tc>
      </w:tr>
      <w:tr w14:paraId="2E2716E5">
        <w:tblPrEx>
          <w:tblCellMar>
            <w:top w:w="0" w:type="dxa"/>
            <w:left w:w="108" w:type="dxa"/>
            <w:bottom w:w="0" w:type="dxa"/>
            <w:right w:w="108" w:type="dxa"/>
          </w:tblCellMar>
        </w:tblPrEx>
        <w:trPr>
          <w:trHeight w:val="501" w:hRule="atLeast"/>
          <w:jc w:val="center"/>
        </w:trPr>
        <w:tc>
          <w:tcPr>
            <w:tcW w:w="1627" w:type="dxa"/>
            <w:vMerge w:val="continue"/>
            <w:tcBorders>
              <w:left w:val="single" w:color="auto" w:sz="4" w:space="0"/>
              <w:right w:val="single" w:color="auto" w:sz="4" w:space="0"/>
            </w:tcBorders>
            <w:noWrap w:val="0"/>
            <w:vAlign w:val="center"/>
          </w:tcPr>
          <w:p w14:paraId="04C794A7">
            <w:pPr>
              <w:keepNext w:val="0"/>
              <w:keepLines w:val="0"/>
              <w:pageBreakBefore w:val="0"/>
              <w:widowControl/>
              <w:kinsoku/>
              <w:wordWrap/>
              <w:overflowPunct/>
              <w:topLinePunct w:val="0"/>
              <w:autoSpaceDE/>
              <w:autoSpaceDN/>
              <w:bidi w:val="0"/>
              <w:adjustRightInd/>
              <w:snapToGrid/>
              <w:spacing w:line="240" w:lineRule="auto"/>
              <w:jc w:val="center"/>
              <w:rPr>
                <w:rFonts w:hint="eastAsia" w:ascii="仿宋" w:hAnsi="仿宋" w:eastAsia="仿宋" w:cs="仿宋"/>
                <w:color w:val="auto"/>
                <w:kern w:val="0"/>
                <w:sz w:val="32"/>
                <w:szCs w:val="32"/>
                <w:u w:val="none"/>
              </w:rPr>
            </w:pPr>
          </w:p>
        </w:tc>
        <w:tc>
          <w:tcPr>
            <w:tcW w:w="5207" w:type="dxa"/>
            <w:tcBorders>
              <w:top w:val="nil"/>
              <w:left w:val="nil"/>
              <w:bottom w:val="single" w:color="auto" w:sz="4" w:space="0"/>
              <w:right w:val="single" w:color="auto" w:sz="4" w:space="0"/>
            </w:tcBorders>
            <w:noWrap/>
            <w:vAlign w:val="center"/>
          </w:tcPr>
          <w:p w14:paraId="019453A0">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智能医疗装备技术</w:t>
            </w:r>
          </w:p>
        </w:tc>
        <w:tc>
          <w:tcPr>
            <w:tcW w:w="1557" w:type="dxa"/>
            <w:tcBorders>
              <w:top w:val="nil"/>
              <w:left w:val="nil"/>
              <w:bottom w:val="single" w:color="auto" w:sz="4" w:space="0"/>
              <w:right w:val="single" w:color="auto" w:sz="4" w:space="0"/>
            </w:tcBorders>
            <w:noWrap/>
            <w:vAlign w:val="center"/>
          </w:tcPr>
          <w:p w14:paraId="5B1B322D">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sz w:val="32"/>
                <w:szCs w:val="32"/>
                <w:u w:val="none"/>
              </w:rPr>
            </w:pPr>
            <w:r>
              <w:rPr>
                <w:rFonts w:hint="eastAsia" w:ascii="仿宋" w:hAnsi="仿宋" w:eastAsia="仿宋" w:cs="仿宋"/>
                <w:color w:val="auto"/>
                <w:kern w:val="0"/>
                <w:sz w:val="32"/>
                <w:szCs w:val="32"/>
                <w:u w:val="none"/>
                <w:lang w:val="en-US" w:eastAsia="zh-CN" w:bidi="ar"/>
              </w:rPr>
              <w:t>5460</w:t>
            </w:r>
          </w:p>
        </w:tc>
      </w:tr>
      <w:tr w14:paraId="4DC21DD0">
        <w:tblPrEx>
          <w:tblCellMar>
            <w:top w:w="0" w:type="dxa"/>
            <w:left w:w="108" w:type="dxa"/>
            <w:bottom w:w="0" w:type="dxa"/>
            <w:right w:w="108" w:type="dxa"/>
          </w:tblCellMar>
        </w:tblPrEx>
        <w:trPr>
          <w:trHeight w:val="501" w:hRule="atLeast"/>
          <w:jc w:val="center"/>
        </w:trPr>
        <w:tc>
          <w:tcPr>
            <w:tcW w:w="1627" w:type="dxa"/>
            <w:vMerge w:val="continue"/>
            <w:tcBorders>
              <w:left w:val="single" w:color="auto" w:sz="4" w:space="0"/>
              <w:right w:val="single" w:color="auto" w:sz="4" w:space="0"/>
            </w:tcBorders>
            <w:noWrap w:val="0"/>
            <w:vAlign w:val="center"/>
          </w:tcPr>
          <w:p w14:paraId="2B7B6DA1">
            <w:pPr>
              <w:keepNext w:val="0"/>
              <w:keepLines w:val="0"/>
              <w:pageBreakBefore w:val="0"/>
              <w:widowControl/>
              <w:kinsoku/>
              <w:wordWrap/>
              <w:overflowPunct/>
              <w:topLinePunct w:val="0"/>
              <w:autoSpaceDE/>
              <w:autoSpaceDN/>
              <w:bidi w:val="0"/>
              <w:adjustRightInd/>
              <w:snapToGrid/>
              <w:spacing w:line="240" w:lineRule="auto"/>
              <w:jc w:val="center"/>
              <w:rPr>
                <w:rFonts w:hint="eastAsia" w:ascii="仿宋" w:hAnsi="仿宋" w:eastAsia="仿宋" w:cs="仿宋"/>
                <w:color w:val="auto"/>
                <w:kern w:val="0"/>
                <w:sz w:val="32"/>
                <w:szCs w:val="32"/>
                <w:u w:val="none"/>
              </w:rPr>
            </w:pPr>
          </w:p>
        </w:tc>
        <w:tc>
          <w:tcPr>
            <w:tcW w:w="5207" w:type="dxa"/>
            <w:tcBorders>
              <w:top w:val="nil"/>
              <w:left w:val="nil"/>
              <w:bottom w:val="single" w:color="auto" w:sz="4" w:space="0"/>
              <w:right w:val="single" w:color="auto" w:sz="4" w:space="0"/>
            </w:tcBorders>
            <w:noWrap/>
            <w:vAlign w:val="center"/>
          </w:tcPr>
          <w:p w14:paraId="4C8F73D7">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医学影像技术</w:t>
            </w:r>
          </w:p>
        </w:tc>
        <w:tc>
          <w:tcPr>
            <w:tcW w:w="1557" w:type="dxa"/>
            <w:tcBorders>
              <w:top w:val="nil"/>
              <w:left w:val="nil"/>
              <w:bottom w:val="single" w:color="auto" w:sz="4" w:space="0"/>
              <w:right w:val="single" w:color="auto" w:sz="4" w:space="0"/>
            </w:tcBorders>
            <w:noWrap/>
            <w:vAlign w:val="center"/>
          </w:tcPr>
          <w:p w14:paraId="10C93973">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sz w:val="32"/>
                <w:szCs w:val="32"/>
                <w:u w:val="none"/>
              </w:rPr>
            </w:pPr>
            <w:r>
              <w:rPr>
                <w:rFonts w:hint="eastAsia" w:ascii="仿宋" w:hAnsi="仿宋" w:eastAsia="仿宋" w:cs="仿宋"/>
                <w:color w:val="auto"/>
                <w:kern w:val="0"/>
                <w:sz w:val="32"/>
                <w:szCs w:val="32"/>
                <w:u w:val="none"/>
                <w:lang w:val="en-US" w:eastAsia="zh-CN" w:bidi="ar"/>
              </w:rPr>
              <w:t>5460</w:t>
            </w:r>
          </w:p>
        </w:tc>
      </w:tr>
      <w:tr w14:paraId="177477A4">
        <w:tblPrEx>
          <w:tblCellMar>
            <w:top w:w="0" w:type="dxa"/>
            <w:left w:w="108" w:type="dxa"/>
            <w:bottom w:w="0" w:type="dxa"/>
            <w:right w:w="108" w:type="dxa"/>
          </w:tblCellMar>
        </w:tblPrEx>
        <w:trPr>
          <w:trHeight w:val="501" w:hRule="atLeast"/>
          <w:jc w:val="center"/>
        </w:trPr>
        <w:tc>
          <w:tcPr>
            <w:tcW w:w="1627" w:type="dxa"/>
            <w:vMerge w:val="continue"/>
            <w:tcBorders>
              <w:left w:val="single" w:color="auto" w:sz="4" w:space="0"/>
              <w:right w:val="single" w:color="auto" w:sz="4" w:space="0"/>
            </w:tcBorders>
            <w:noWrap w:val="0"/>
            <w:vAlign w:val="center"/>
          </w:tcPr>
          <w:p w14:paraId="175B68EA">
            <w:pPr>
              <w:keepNext w:val="0"/>
              <w:keepLines w:val="0"/>
              <w:pageBreakBefore w:val="0"/>
              <w:widowControl/>
              <w:kinsoku/>
              <w:wordWrap/>
              <w:overflowPunct/>
              <w:topLinePunct w:val="0"/>
              <w:autoSpaceDE/>
              <w:autoSpaceDN/>
              <w:bidi w:val="0"/>
              <w:adjustRightInd/>
              <w:snapToGrid/>
              <w:spacing w:line="240" w:lineRule="auto"/>
              <w:jc w:val="center"/>
              <w:rPr>
                <w:rFonts w:hint="eastAsia" w:ascii="仿宋" w:hAnsi="仿宋" w:eastAsia="仿宋" w:cs="仿宋"/>
                <w:color w:val="auto"/>
                <w:kern w:val="0"/>
                <w:sz w:val="32"/>
                <w:szCs w:val="32"/>
                <w:u w:val="none"/>
              </w:rPr>
            </w:pPr>
          </w:p>
        </w:tc>
        <w:tc>
          <w:tcPr>
            <w:tcW w:w="5207" w:type="dxa"/>
            <w:tcBorders>
              <w:top w:val="nil"/>
              <w:left w:val="nil"/>
              <w:bottom w:val="single" w:color="auto" w:sz="4" w:space="0"/>
              <w:right w:val="single" w:color="auto" w:sz="4" w:space="0"/>
            </w:tcBorders>
            <w:noWrap/>
            <w:vAlign w:val="center"/>
          </w:tcPr>
          <w:p w14:paraId="1FC6C3F3">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卫生信息管理</w:t>
            </w:r>
          </w:p>
        </w:tc>
        <w:tc>
          <w:tcPr>
            <w:tcW w:w="1557" w:type="dxa"/>
            <w:tcBorders>
              <w:top w:val="nil"/>
              <w:left w:val="nil"/>
              <w:bottom w:val="single" w:color="auto" w:sz="4" w:space="0"/>
              <w:right w:val="single" w:color="auto" w:sz="4" w:space="0"/>
            </w:tcBorders>
            <w:noWrap/>
            <w:vAlign w:val="center"/>
          </w:tcPr>
          <w:p w14:paraId="768A9443">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sz w:val="32"/>
                <w:szCs w:val="32"/>
                <w:u w:val="none"/>
              </w:rPr>
            </w:pPr>
            <w:r>
              <w:rPr>
                <w:rFonts w:hint="eastAsia" w:ascii="仿宋" w:hAnsi="仿宋" w:eastAsia="仿宋" w:cs="仿宋"/>
                <w:color w:val="auto"/>
                <w:kern w:val="0"/>
                <w:sz w:val="32"/>
                <w:szCs w:val="32"/>
                <w:u w:val="none"/>
                <w:lang w:val="en-US" w:eastAsia="zh-CN" w:bidi="ar"/>
              </w:rPr>
              <w:t>5460</w:t>
            </w:r>
          </w:p>
        </w:tc>
      </w:tr>
      <w:tr w14:paraId="3D652F57">
        <w:tblPrEx>
          <w:tblCellMar>
            <w:top w:w="0" w:type="dxa"/>
            <w:left w:w="108" w:type="dxa"/>
            <w:bottom w:w="0" w:type="dxa"/>
            <w:right w:w="108" w:type="dxa"/>
          </w:tblCellMar>
        </w:tblPrEx>
        <w:trPr>
          <w:trHeight w:val="501" w:hRule="atLeast"/>
          <w:jc w:val="center"/>
        </w:trPr>
        <w:tc>
          <w:tcPr>
            <w:tcW w:w="1627" w:type="dxa"/>
            <w:vMerge w:val="continue"/>
            <w:tcBorders>
              <w:left w:val="single" w:color="auto" w:sz="4" w:space="0"/>
              <w:right w:val="single" w:color="auto" w:sz="4" w:space="0"/>
            </w:tcBorders>
            <w:noWrap w:val="0"/>
            <w:vAlign w:val="center"/>
          </w:tcPr>
          <w:p w14:paraId="7197648D">
            <w:pPr>
              <w:keepNext w:val="0"/>
              <w:keepLines w:val="0"/>
              <w:pageBreakBefore w:val="0"/>
              <w:widowControl/>
              <w:kinsoku/>
              <w:wordWrap/>
              <w:overflowPunct/>
              <w:topLinePunct w:val="0"/>
              <w:autoSpaceDE/>
              <w:autoSpaceDN/>
              <w:bidi w:val="0"/>
              <w:adjustRightInd/>
              <w:snapToGrid/>
              <w:spacing w:line="240" w:lineRule="auto"/>
              <w:jc w:val="center"/>
              <w:rPr>
                <w:rFonts w:hint="eastAsia" w:ascii="仿宋" w:hAnsi="仿宋" w:eastAsia="仿宋" w:cs="仿宋"/>
                <w:color w:val="auto"/>
                <w:kern w:val="0"/>
                <w:sz w:val="32"/>
                <w:szCs w:val="32"/>
                <w:u w:val="none"/>
              </w:rPr>
            </w:pPr>
          </w:p>
        </w:tc>
        <w:tc>
          <w:tcPr>
            <w:tcW w:w="5207" w:type="dxa"/>
            <w:tcBorders>
              <w:top w:val="nil"/>
              <w:left w:val="nil"/>
              <w:bottom w:val="single" w:color="auto" w:sz="4" w:space="0"/>
              <w:right w:val="single" w:color="auto" w:sz="4" w:space="0"/>
            </w:tcBorders>
            <w:noWrap/>
            <w:vAlign w:val="center"/>
          </w:tcPr>
          <w:p w14:paraId="7F6E141C">
            <w:pPr>
              <w:keepNext w:val="0"/>
              <w:keepLines w:val="0"/>
              <w:pageBreakBefore w:val="0"/>
              <w:kinsoku/>
              <w:wordWrap/>
              <w:overflowPunct/>
              <w:topLinePunct w:val="0"/>
              <w:autoSpaceDE w:val="0"/>
              <w:autoSpaceDN/>
              <w:bidi w:val="0"/>
              <w:adjustRightInd/>
              <w:snapToGrid/>
              <w:spacing w:line="240" w:lineRule="auto"/>
              <w:jc w:val="center"/>
              <w:rPr>
                <w:rFonts w:hint="eastAsia" w:ascii="仿宋" w:hAnsi="仿宋" w:eastAsia="仿宋" w:cs="仿宋"/>
                <w:color w:val="auto"/>
                <w:kern w:val="2"/>
                <w:sz w:val="32"/>
                <w:szCs w:val="32"/>
                <w:u w:val="none"/>
                <w:lang w:val="en-US" w:eastAsia="zh-CN" w:bidi="ar-SA"/>
              </w:rPr>
            </w:pPr>
            <w:r>
              <w:rPr>
                <w:rFonts w:hint="eastAsia" w:ascii="仿宋" w:hAnsi="仿宋" w:eastAsia="仿宋" w:cs="仿宋"/>
                <w:color w:val="auto"/>
                <w:sz w:val="32"/>
                <w:szCs w:val="32"/>
                <w:u w:val="none"/>
              </w:rPr>
              <w:t>老年保健与管理</w:t>
            </w:r>
          </w:p>
        </w:tc>
        <w:tc>
          <w:tcPr>
            <w:tcW w:w="1557" w:type="dxa"/>
            <w:tcBorders>
              <w:top w:val="nil"/>
              <w:left w:val="nil"/>
              <w:bottom w:val="single" w:color="auto" w:sz="4" w:space="0"/>
              <w:right w:val="single" w:color="auto" w:sz="4" w:space="0"/>
            </w:tcBorders>
            <w:noWrap/>
            <w:vAlign w:val="center"/>
          </w:tcPr>
          <w:p w14:paraId="6CA9C6DC">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eastAsia" w:ascii="仿宋" w:hAnsi="仿宋" w:eastAsia="仿宋" w:cs="仿宋"/>
                <w:color w:val="auto"/>
                <w:sz w:val="32"/>
                <w:szCs w:val="32"/>
                <w:u w:val="none"/>
              </w:rPr>
            </w:pPr>
            <w:r>
              <w:rPr>
                <w:rFonts w:hint="eastAsia" w:ascii="仿宋" w:hAnsi="仿宋" w:eastAsia="仿宋" w:cs="仿宋"/>
                <w:color w:val="auto"/>
                <w:kern w:val="0"/>
                <w:sz w:val="32"/>
                <w:szCs w:val="32"/>
                <w:u w:val="none"/>
                <w:lang w:val="en-US" w:eastAsia="zh-CN" w:bidi="ar"/>
              </w:rPr>
              <w:t>5460</w:t>
            </w:r>
          </w:p>
        </w:tc>
      </w:tr>
      <w:tr w14:paraId="4FA2D851">
        <w:tblPrEx>
          <w:tblCellMar>
            <w:top w:w="0" w:type="dxa"/>
            <w:left w:w="108" w:type="dxa"/>
            <w:bottom w:w="0" w:type="dxa"/>
            <w:right w:w="108" w:type="dxa"/>
          </w:tblCellMar>
        </w:tblPrEx>
        <w:trPr>
          <w:trHeight w:val="550" w:hRule="atLeast"/>
          <w:jc w:val="center"/>
        </w:trPr>
        <w:tc>
          <w:tcPr>
            <w:tcW w:w="6834" w:type="dxa"/>
            <w:gridSpan w:val="2"/>
            <w:tcBorders>
              <w:top w:val="single" w:color="auto" w:sz="4" w:space="0"/>
              <w:left w:val="single" w:color="auto" w:sz="4" w:space="0"/>
              <w:bottom w:val="single" w:color="auto" w:sz="4" w:space="0"/>
              <w:right w:val="single" w:color="000000" w:sz="4" w:space="0"/>
            </w:tcBorders>
            <w:noWrap w:val="0"/>
            <w:vAlign w:val="center"/>
          </w:tcPr>
          <w:p w14:paraId="68F3A730">
            <w:pPr>
              <w:keepNext w:val="0"/>
              <w:keepLines w:val="0"/>
              <w:pageBreakBefore w:val="0"/>
              <w:widowControl/>
              <w:kinsoku/>
              <w:wordWrap/>
              <w:overflowPunct/>
              <w:topLinePunct w:val="0"/>
              <w:autoSpaceDE/>
              <w:autoSpaceDN/>
              <w:bidi w:val="0"/>
              <w:adjustRightInd/>
              <w:snapToGrid/>
              <w:spacing w:line="240" w:lineRule="auto"/>
              <w:jc w:val="center"/>
              <w:rPr>
                <w:rFonts w:hint="eastAsia" w:ascii="仿宋" w:hAnsi="仿宋" w:eastAsia="仿宋" w:cs="仿宋"/>
                <w:b/>
                <w:color w:val="auto"/>
                <w:sz w:val="32"/>
                <w:szCs w:val="32"/>
                <w:u w:val="none"/>
                <w:lang w:val="en-US" w:eastAsia="zh-CN"/>
              </w:rPr>
            </w:pPr>
            <w:r>
              <w:rPr>
                <w:rFonts w:hint="eastAsia" w:ascii="仿宋" w:hAnsi="仿宋" w:eastAsia="仿宋" w:cs="仿宋"/>
                <w:b/>
                <w:bCs/>
                <w:color w:val="auto"/>
                <w:kern w:val="0"/>
                <w:sz w:val="32"/>
                <w:szCs w:val="32"/>
                <w:u w:val="none"/>
                <w:lang w:val="en-US" w:eastAsia="zh-CN" w:bidi="ar"/>
              </w:rPr>
              <w:t>单招总计划</w:t>
            </w:r>
          </w:p>
        </w:tc>
        <w:tc>
          <w:tcPr>
            <w:tcW w:w="1557" w:type="dxa"/>
            <w:tcBorders>
              <w:top w:val="nil"/>
              <w:left w:val="nil"/>
              <w:bottom w:val="single" w:color="auto" w:sz="4" w:space="0"/>
              <w:right w:val="single" w:color="auto" w:sz="4" w:space="0"/>
            </w:tcBorders>
            <w:noWrap/>
            <w:vAlign w:val="center"/>
          </w:tcPr>
          <w:p w14:paraId="0AD7057E">
            <w:pPr>
              <w:keepNext w:val="0"/>
              <w:keepLines w:val="0"/>
              <w:pageBreakBefore w:val="0"/>
              <w:widowControl/>
              <w:kinsoku/>
              <w:wordWrap/>
              <w:overflowPunct/>
              <w:topLinePunct w:val="0"/>
              <w:autoSpaceDE/>
              <w:autoSpaceDN/>
              <w:bidi w:val="0"/>
              <w:adjustRightInd/>
              <w:snapToGrid/>
              <w:spacing w:line="240" w:lineRule="auto"/>
              <w:jc w:val="center"/>
              <w:textAlignment w:val="center"/>
              <w:rPr>
                <w:rFonts w:hint="default" w:ascii="仿宋" w:hAnsi="仿宋" w:eastAsia="仿宋" w:cs="仿宋"/>
                <w:b/>
                <w:color w:val="auto"/>
                <w:sz w:val="32"/>
                <w:szCs w:val="32"/>
                <w:u w:val="none"/>
                <w:lang w:val="en-US" w:eastAsia="zh-CN"/>
              </w:rPr>
            </w:pPr>
            <w:r>
              <w:rPr>
                <w:rFonts w:hint="eastAsia" w:ascii="仿宋" w:hAnsi="仿宋" w:eastAsia="仿宋" w:cs="仿宋"/>
                <w:b/>
                <w:bCs/>
                <w:color w:val="auto"/>
                <w:kern w:val="0"/>
                <w:sz w:val="32"/>
                <w:szCs w:val="32"/>
                <w:u w:val="none"/>
                <w:lang w:val="en-US" w:eastAsia="zh-CN" w:bidi="ar"/>
              </w:rPr>
              <w:t>2325</w:t>
            </w:r>
          </w:p>
        </w:tc>
      </w:tr>
    </w:tbl>
    <w:p w14:paraId="5F36B922">
      <w:pPr>
        <w:keepNext w:val="0"/>
        <w:keepLines w:val="0"/>
        <w:pageBreakBefore w:val="0"/>
        <w:widowControl/>
        <w:numPr>
          <w:ilvl w:val="0"/>
          <w:numId w:val="0"/>
        </w:numPr>
        <w:shd w:val="clear" w:color="auto" w:fill="FFFFFF"/>
        <w:kinsoku/>
        <w:wordWrap/>
        <w:overflowPunct/>
        <w:topLinePunct w:val="0"/>
        <w:autoSpaceDN/>
        <w:bidi w:val="0"/>
        <w:adjustRightInd/>
        <w:snapToGrid/>
        <w:spacing w:line="240" w:lineRule="auto"/>
        <w:ind w:firstLine="640" w:firstLineChars="200"/>
        <w:jc w:val="left"/>
        <w:rPr>
          <w:rFonts w:hint="eastAsia" w:ascii="仿宋" w:hAnsi="仿宋" w:eastAsia="仿宋" w:cs="仿宋"/>
          <w:color w:val="auto"/>
          <w:sz w:val="32"/>
          <w:szCs w:val="32"/>
          <w:u w:val="none"/>
          <w:lang w:eastAsia="zh-CN"/>
        </w:rPr>
      </w:pPr>
      <w:r>
        <w:rPr>
          <w:rFonts w:hint="eastAsia" w:ascii="仿宋" w:hAnsi="仿宋" w:eastAsia="仿宋" w:cs="仿宋"/>
          <w:color w:val="auto"/>
          <w:sz w:val="32"/>
          <w:szCs w:val="32"/>
          <w:u w:val="none"/>
          <w:lang w:eastAsia="zh-CN"/>
        </w:rPr>
        <w:t>注：</w:t>
      </w:r>
    </w:p>
    <w:p w14:paraId="43023775">
      <w:pPr>
        <w:keepNext w:val="0"/>
        <w:keepLines w:val="0"/>
        <w:pageBreakBefore w:val="0"/>
        <w:widowControl/>
        <w:numPr>
          <w:ilvl w:val="0"/>
          <w:numId w:val="0"/>
        </w:numPr>
        <w:shd w:val="clear" w:color="auto" w:fill="FFFFFF"/>
        <w:kinsoku/>
        <w:wordWrap/>
        <w:overflowPunct/>
        <w:topLinePunct w:val="0"/>
        <w:autoSpaceDN/>
        <w:bidi w:val="0"/>
        <w:adjustRightInd/>
        <w:snapToGrid/>
        <w:spacing w:line="240" w:lineRule="auto"/>
        <w:ind w:firstLine="640" w:firstLineChars="200"/>
        <w:jc w:val="left"/>
        <w:rPr>
          <w:rFonts w:hint="eastAsia" w:ascii="仿宋" w:hAnsi="仿宋" w:eastAsia="仿宋" w:cs="仿宋"/>
          <w:color w:val="auto"/>
          <w:sz w:val="32"/>
          <w:szCs w:val="32"/>
          <w:u w:val="none"/>
        </w:rPr>
      </w:pPr>
      <w:r>
        <w:rPr>
          <w:rFonts w:hint="eastAsia" w:ascii="仿宋" w:hAnsi="仿宋" w:eastAsia="仿宋" w:cs="仿宋"/>
          <w:color w:val="auto"/>
          <w:sz w:val="32"/>
          <w:szCs w:val="32"/>
          <w:u w:val="none"/>
          <w:lang w:val="en-US" w:eastAsia="zh-CN"/>
        </w:rPr>
        <w:t>1.</w:t>
      </w:r>
      <w:r>
        <w:rPr>
          <w:rFonts w:hint="eastAsia" w:ascii="仿宋" w:hAnsi="仿宋" w:eastAsia="仿宋" w:cs="仿宋"/>
          <w:color w:val="auto"/>
          <w:sz w:val="32"/>
          <w:szCs w:val="32"/>
          <w:u w:val="none"/>
        </w:rPr>
        <w:t>我校除助产专业根据行业及用人单位需求限招女生外，其它专业考生均无男女比例要求；所有专业</w:t>
      </w:r>
      <w:r>
        <w:rPr>
          <w:rFonts w:hint="eastAsia" w:ascii="仿宋" w:hAnsi="仿宋" w:eastAsia="仿宋" w:cs="仿宋"/>
          <w:color w:val="auto"/>
          <w:sz w:val="32"/>
          <w:szCs w:val="32"/>
          <w:u w:val="none"/>
          <w:lang w:eastAsia="zh-CN"/>
        </w:rPr>
        <w:t>均</w:t>
      </w:r>
      <w:r>
        <w:rPr>
          <w:rFonts w:hint="eastAsia" w:ascii="仿宋" w:hAnsi="仿宋" w:eastAsia="仿宋" w:cs="仿宋"/>
          <w:color w:val="auto"/>
          <w:sz w:val="32"/>
          <w:szCs w:val="32"/>
          <w:u w:val="none"/>
        </w:rPr>
        <w:t>要求考生身体健康</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学校对考生身体健康状况</w:t>
      </w:r>
      <w:r>
        <w:rPr>
          <w:rFonts w:hint="eastAsia" w:ascii="仿宋" w:hAnsi="仿宋" w:eastAsia="仿宋" w:cs="仿宋"/>
          <w:color w:val="auto"/>
          <w:sz w:val="32"/>
          <w:szCs w:val="32"/>
          <w:u w:val="none"/>
          <w:lang w:eastAsia="zh-CN"/>
        </w:rPr>
        <w:t>具体</w:t>
      </w:r>
      <w:r>
        <w:rPr>
          <w:rFonts w:hint="eastAsia" w:ascii="仿宋" w:hAnsi="仿宋" w:eastAsia="仿宋" w:cs="仿宋"/>
          <w:color w:val="auto"/>
          <w:sz w:val="32"/>
          <w:szCs w:val="32"/>
          <w:u w:val="none"/>
        </w:rPr>
        <w:t>要求按《普通高等学校招生体检工作指导意见》及有关补充规定执行。新生入学后，学校将组织所有新生进行健康检查，对身体有疾病、不适宜就读相关专业的考生，我校将根据《普通高等学校招生体检工作指导意见》要求，进行专业调整或要求学生退学。</w:t>
      </w:r>
    </w:p>
    <w:p w14:paraId="2B2EBE9F">
      <w:pPr>
        <w:keepNext w:val="0"/>
        <w:keepLines w:val="0"/>
        <w:pageBreakBefore w:val="0"/>
        <w:widowControl/>
        <w:kinsoku/>
        <w:wordWrap/>
        <w:overflowPunct/>
        <w:topLinePunct w:val="0"/>
        <w:autoSpaceDN/>
        <w:bidi w:val="0"/>
        <w:adjustRightInd/>
        <w:snapToGrid/>
        <w:spacing w:line="240" w:lineRule="auto"/>
        <w:ind w:firstLine="640" w:firstLineChars="200"/>
        <w:jc w:val="left"/>
        <w:rPr>
          <w:rFonts w:hint="eastAsia" w:ascii="仿宋" w:hAnsi="仿宋" w:eastAsia="仿宋" w:cs="仿宋"/>
          <w:color w:val="auto"/>
          <w:sz w:val="32"/>
          <w:szCs w:val="32"/>
          <w:u w:val="none"/>
          <w:lang w:val="en-US" w:eastAsia="zh-CN"/>
        </w:rPr>
      </w:pPr>
      <w:r>
        <w:rPr>
          <w:rFonts w:hint="eastAsia" w:ascii="仿宋" w:hAnsi="仿宋" w:eastAsia="仿宋" w:cs="仿宋"/>
          <w:color w:val="auto"/>
          <w:kern w:val="0"/>
          <w:sz w:val="32"/>
          <w:szCs w:val="32"/>
          <w:u w:val="none"/>
          <w:lang w:val="en-US" w:eastAsia="zh-CN"/>
        </w:rPr>
        <w:t>2.学校各专业均开设有校企合作订单班，学生录取入校后，如有需要可申请参加订单班培养并定向就业。</w:t>
      </w:r>
    </w:p>
    <w:p w14:paraId="75E2467C">
      <w:pPr>
        <w:keepNext w:val="0"/>
        <w:keepLines w:val="0"/>
        <w:pageBreakBefore w:val="0"/>
        <w:widowControl/>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kern w:val="0"/>
          <w:sz w:val="32"/>
          <w:szCs w:val="32"/>
          <w:u w:val="none"/>
          <w:lang w:val="en-US" w:eastAsia="zh-CN"/>
        </w:rPr>
      </w:pPr>
      <w:r>
        <w:rPr>
          <w:rFonts w:hint="eastAsia" w:ascii="仿宋" w:hAnsi="仿宋" w:eastAsia="仿宋" w:cs="仿宋"/>
          <w:b/>
          <w:bCs/>
          <w:color w:val="auto"/>
          <w:sz w:val="32"/>
          <w:szCs w:val="32"/>
          <w:u w:val="none"/>
          <w:lang w:val="en-US" w:eastAsia="zh-CN"/>
        </w:rPr>
        <w:t xml:space="preserve">第十三条  </w:t>
      </w:r>
      <w:r>
        <w:rPr>
          <w:rFonts w:hint="eastAsia" w:ascii="仿宋" w:hAnsi="仿宋" w:eastAsia="仿宋" w:cs="仿宋"/>
          <w:color w:val="auto"/>
          <w:kern w:val="0"/>
          <w:sz w:val="32"/>
          <w:szCs w:val="32"/>
          <w:u w:val="none"/>
          <w:lang w:val="en-US" w:eastAsia="zh-CN"/>
        </w:rPr>
        <w:t>单</w:t>
      </w:r>
      <w:r>
        <w:rPr>
          <w:rFonts w:hint="eastAsia" w:ascii="仿宋" w:hAnsi="仿宋" w:eastAsia="仿宋" w:cs="仿宋"/>
          <w:color w:val="auto"/>
          <w:kern w:val="0"/>
          <w:sz w:val="32"/>
          <w:szCs w:val="32"/>
          <w:u w:val="none"/>
        </w:rPr>
        <w:t>列计划</w:t>
      </w:r>
      <w:r>
        <w:rPr>
          <w:rFonts w:hint="eastAsia" w:ascii="仿宋" w:hAnsi="仿宋" w:eastAsia="仿宋" w:cs="仿宋"/>
          <w:color w:val="auto"/>
          <w:kern w:val="0"/>
          <w:sz w:val="32"/>
          <w:szCs w:val="32"/>
          <w:u w:val="none"/>
          <w:lang w:val="en-US" w:eastAsia="zh-CN"/>
        </w:rPr>
        <w:t>及专业说明。根据省教育厅政策规定，单列计划纳入我校单招总计划，且均包含在各相关专业的招生计划内，未录满的计划自动转为普通类计划。</w:t>
      </w:r>
    </w:p>
    <w:p w14:paraId="6BAFC0FC">
      <w:pPr>
        <w:keepNext w:val="0"/>
        <w:keepLines w:val="0"/>
        <w:pageBreakBefore w:val="0"/>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lang w:val="en-US" w:eastAsia="zh-CN"/>
        </w:rPr>
        <w:t>1.退役军人计划10人，考生在上表自行选择报考专业。</w:t>
      </w:r>
    </w:p>
    <w:p w14:paraId="40E857A4">
      <w:pPr>
        <w:keepNext w:val="0"/>
        <w:keepLines w:val="0"/>
        <w:pageBreakBefore w:val="0"/>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lang w:val="en-US" w:eastAsia="zh-CN"/>
        </w:rPr>
        <w:t>2.其他社会人员（农民工、下岗失业人员、新型职业农民和企业在岗人员）计划20人，分别为医疗器械维护与管理专业6人、智能医疗装备技术专业6人、老年保健与管理专业8人。</w:t>
      </w:r>
    </w:p>
    <w:p w14:paraId="66504E1A">
      <w:pPr>
        <w:keepNext w:val="0"/>
        <w:keepLines w:val="0"/>
        <w:pageBreakBefore w:val="0"/>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lang w:val="en-US" w:eastAsia="zh-CN"/>
        </w:rPr>
        <w:t>3.艺术特长生招生计划10人，体育特长生招生计划10人，考生可在上表自行选择报考专业。</w:t>
      </w:r>
    </w:p>
    <w:p w14:paraId="23081BB9">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3"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b/>
          <w:bCs/>
          <w:color w:val="auto"/>
          <w:kern w:val="0"/>
          <w:sz w:val="32"/>
          <w:szCs w:val="32"/>
          <w:u w:val="none"/>
          <w:lang w:val="en-US" w:eastAsia="zh-CN"/>
        </w:rPr>
        <w:t>第十四条</w:t>
      </w:r>
      <w:r>
        <w:rPr>
          <w:rFonts w:hint="eastAsia" w:ascii="仿宋" w:hAnsi="仿宋" w:eastAsia="仿宋" w:cs="仿宋"/>
          <w:color w:val="auto"/>
          <w:kern w:val="0"/>
          <w:sz w:val="32"/>
          <w:szCs w:val="32"/>
          <w:u w:val="none"/>
          <w:lang w:val="en-US" w:eastAsia="zh-CN"/>
        </w:rPr>
        <w:t xml:space="preserve">  学校在考试结束后，以实际参考人数为基数，按比例确定各专业不同类别考生的计划数。学校各专业各类别计划确定并公布后，一律不调整和追加。单招未完成的计划转为统招计划使用。</w:t>
      </w:r>
    </w:p>
    <w:p w14:paraId="6AFD137F">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b/>
          <w:bCs/>
          <w:color w:val="auto"/>
          <w:sz w:val="36"/>
          <w:szCs w:val="36"/>
          <w:u w:val="none"/>
          <w:lang w:eastAsia="zh-CN"/>
        </w:rPr>
      </w:pPr>
      <w:r>
        <w:rPr>
          <w:rFonts w:hint="eastAsia" w:ascii="黑体" w:hAnsi="黑体" w:eastAsia="黑体" w:cs="黑体"/>
          <w:b/>
          <w:bCs/>
          <w:color w:val="auto"/>
          <w:sz w:val="36"/>
          <w:szCs w:val="36"/>
          <w:u w:val="none"/>
          <w:lang w:val="en-US" w:eastAsia="zh-CN"/>
        </w:rPr>
        <w:t>第五章  单招考试</w:t>
      </w:r>
    </w:p>
    <w:p w14:paraId="5DCF776D">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 xml:space="preserve">第十五条  </w:t>
      </w:r>
      <w:r>
        <w:rPr>
          <w:rFonts w:hint="eastAsia" w:ascii="仿宋" w:hAnsi="仿宋" w:eastAsia="仿宋" w:cs="仿宋"/>
          <w:color w:val="auto"/>
          <w:sz w:val="32"/>
          <w:szCs w:val="32"/>
          <w:u w:val="none"/>
          <w:lang w:val="en-US" w:eastAsia="zh-CN"/>
        </w:rPr>
        <w:t>学</w:t>
      </w:r>
      <w:r>
        <w:rPr>
          <w:rFonts w:hint="eastAsia" w:ascii="仿宋" w:hAnsi="仿宋" w:eastAsia="仿宋" w:cs="仿宋"/>
          <w:color w:val="auto"/>
          <w:sz w:val="32"/>
          <w:szCs w:val="32"/>
          <w:u w:val="none"/>
        </w:rPr>
        <w:t>校将本着公平、公正、择优录取的原则，按照国家教育考试相关规定，在省教育厅、省教育考试院的指导和监督下组织单</w:t>
      </w:r>
      <w:r>
        <w:rPr>
          <w:rFonts w:hint="eastAsia" w:ascii="仿宋" w:hAnsi="仿宋" w:eastAsia="仿宋" w:cs="仿宋"/>
          <w:color w:val="auto"/>
          <w:sz w:val="32"/>
          <w:szCs w:val="32"/>
          <w:u w:val="none"/>
          <w:lang w:val="en-US" w:eastAsia="zh-CN"/>
        </w:rPr>
        <w:t>招考试的相关</w:t>
      </w:r>
      <w:r>
        <w:rPr>
          <w:rFonts w:hint="eastAsia" w:ascii="仿宋" w:hAnsi="仿宋" w:eastAsia="仿宋" w:cs="仿宋"/>
          <w:color w:val="auto"/>
          <w:sz w:val="32"/>
          <w:szCs w:val="32"/>
          <w:u w:val="none"/>
        </w:rPr>
        <w:t>工作。</w:t>
      </w:r>
    </w:p>
    <w:p w14:paraId="20911824">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第十六条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参加</w:t>
      </w:r>
      <w:r>
        <w:rPr>
          <w:rFonts w:hint="eastAsia" w:ascii="仿宋" w:hAnsi="仿宋" w:eastAsia="仿宋" w:cs="仿宋"/>
          <w:color w:val="auto"/>
          <w:sz w:val="32"/>
          <w:szCs w:val="32"/>
          <w:u w:val="none"/>
          <w:lang w:val="en-US" w:eastAsia="zh-CN"/>
        </w:rPr>
        <w:t>学</w:t>
      </w:r>
      <w:r>
        <w:rPr>
          <w:rFonts w:hint="eastAsia" w:ascii="仿宋" w:hAnsi="仿宋" w:eastAsia="仿宋" w:cs="仿宋"/>
          <w:color w:val="auto"/>
          <w:sz w:val="32"/>
          <w:szCs w:val="32"/>
          <w:u w:val="none"/>
        </w:rPr>
        <w:t>校今年单招的考生分为应届普通高中毕业考生（具有202</w:t>
      </w:r>
      <w:r>
        <w:rPr>
          <w:rFonts w:hint="eastAsia" w:ascii="仿宋" w:hAnsi="仿宋" w:eastAsia="仿宋" w:cs="仿宋"/>
          <w:color w:val="auto"/>
          <w:sz w:val="32"/>
          <w:szCs w:val="32"/>
          <w:u w:val="none"/>
          <w:lang w:val="en-US" w:eastAsia="zh-CN"/>
        </w:rPr>
        <w:t>4</w:t>
      </w:r>
      <w:r>
        <w:rPr>
          <w:rFonts w:hint="eastAsia" w:ascii="仿宋" w:hAnsi="仿宋" w:eastAsia="仿宋" w:cs="仿宋"/>
          <w:color w:val="auto"/>
          <w:sz w:val="32"/>
          <w:szCs w:val="32"/>
          <w:u w:val="none"/>
        </w:rPr>
        <w:t>年普通高中学业水平合格性考试</w:t>
      </w:r>
      <w:r>
        <w:rPr>
          <w:rFonts w:hint="eastAsia" w:ascii="仿宋" w:hAnsi="仿宋" w:eastAsia="仿宋" w:cs="仿宋"/>
          <w:color w:val="auto"/>
          <w:sz w:val="32"/>
          <w:szCs w:val="32"/>
          <w:u w:val="none"/>
          <w:lang w:val="en-US" w:eastAsia="zh-CN"/>
        </w:rPr>
        <w:t>语文、数学、外语</w:t>
      </w:r>
      <w:r>
        <w:rPr>
          <w:rFonts w:hint="eastAsia" w:ascii="仿宋" w:hAnsi="仿宋" w:eastAsia="仿宋" w:cs="仿宋"/>
          <w:color w:val="auto"/>
          <w:sz w:val="32"/>
          <w:szCs w:val="32"/>
          <w:u w:val="none"/>
        </w:rPr>
        <w:t>有效成绩）、中职考生和往届普通高中考生及同等学力考生（含普通高中学业水平合格性考试</w:t>
      </w:r>
      <w:r>
        <w:rPr>
          <w:rFonts w:hint="eastAsia" w:ascii="仿宋" w:hAnsi="仿宋" w:eastAsia="仿宋" w:cs="仿宋"/>
          <w:color w:val="auto"/>
          <w:sz w:val="32"/>
          <w:szCs w:val="32"/>
          <w:u w:val="none"/>
          <w:lang w:val="en-US" w:eastAsia="zh-CN"/>
        </w:rPr>
        <w:t>语文、数学、外语</w:t>
      </w:r>
      <w:r>
        <w:rPr>
          <w:rFonts w:hint="eastAsia" w:ascii="仿宋" w:hAnsi="仿宋" w:eastAsia="仿宋" w:cs="仿宋"/>
          <w:color w:val="auto"/>
          <w:sz w:val="32"/>
          <w:szCs w:val="32"/>
          <w:u w:val="none"/>
        </w:rPr>
        <w:t>有效成绩不全的应届普通高中考生）、退役军人、其他社会人员、</w:t>
      </w:r>
      <w:r>
        <w:rPr>
          <w:rFonts w:hint="eastAsia" w:ascii="仿宋" w:hAnsi="仿宋" w:eastAsia="仿宋" w:cs="仿宋"/>
          <w:color w:val="auto"/>
          <w:sz w:val="32"/>
          <w:szCs w:val="32"/>
          <w:u w:val="none"/>
          <w:lang w:val="en-US" w:eastAsia="zh-CN"/>
        </w:rPr>
        <w:t>艺术体育</w:t>
      </w:r>
      <w:r>
        <w:rPr>
          <w:rFonts w:hint="eastAsia" w:ascii="仿宋" w:hAnsi="仿宋" w:eastAsia="仿宋" w:cs="仿宋"/>
          <w:color w:val="auto"/>
          <w:sz w:val="32"/>
          <w:szCs w:val="32"/>
          <w:u w:val="none"/>
        </w:rPr>
        <w:t>特长生</w:t>
      </w:r>
      <w:r>
        <w:rPr>
          <w:rFonts w:hint="eastAsia" w:ascii="仿宋" w:hAnsi="仿宋" w:eastAsia="仿宋" w:cs="仿宋"/>
          <w:color w:val="auto"/>
          <w:sz w:val="32"/>
          <w:szCs w:val="32"/>
          <w:u w:val="none"/>
          <w:lang w:val="en-US" w:eastAsia="zh-CN"/>
        </w:rPr>
        <w:t>5个</w:t>
      </w:r>
      <w:r>
        <w:rPr>
          <w:rFonts w:hint="eastAsia" w:ascii="仿宋" w:hAnsi="仿宋" w:eastAsia="仿宋" w:cs="仿宋"/>
          <w:color w:val="auto"/>
          <w:sz w:val="32"/>
          <w:szCs w:val="32"/>
          <w:u w:val="none"/>
        </w:rPr>
        <w:t>大类。</w:t>
      </w:r>
    </w:p>
    <w:p w14:paraId="67ED6048">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第十七条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lang w:eastAsia="zh-CN"/>
        </w:rPr>
        <w:t>按照“文化素质</w:t>
      </w:r>
      <w:r>
        <w:rPr>
          <w:rFonts w:hint="eastAsia" w:ascii="仿宋" w:hAnsi="仿宋" w:eastAsia="仿宋" w:cs="仿宋"/>
          <w:color w:val="auto"/>
          <w:sz w:val="32"/>
          <w:szCs w:val="32"/>
          <w:u w:val="none"/>
          <w:lang w:val="en-US" w:eastAsia="zh-CN"/>
        </w:rPr>
        <w:t>+职业技能</w:t>
      </w:r>
      <w:r>
        <w:rPr>
          <w:rFonts w:hint="eastAsia" w:ascii="仿宋" w:hAnsi="仿宋" w:eastAsia="仿宋" w:cs="仿宋"/>
          <w:color w:val="auto"/>
          <w:sz w:val="32"/>
          <w:szCs w:val="32"/>
          <w:u w:val="none"/>
          <w:lang w:eastAsia="zh-CN"/>
        </w:rPr>
        <w:t>”方式，分类组织</w:t>
      </w:r>
      <w:r>
        <w:rPr>
          <w:rFonts w:hint="eastAsia" w:ascii="仿宋" w:hAnsi="仿宋" w:eastAsia="仿宋" w:cs="仿宋"/>
          <w:color w:val="auto"/>
          <w:sz w:val="32"/>
          <w:szCs w:val="32"/>
          <w:u w:val="none"/>
        </w:rPr>
        <w:t>考试</w:t>
      </w:r>
      <w:r>
        <w:rPr>
          <w:rFonts w:hint="eastAsia" w:ascii="仿宋" w:hAnsi="仿宋" w:eastAsia="仿宋" w:cs="仿宋"/>
          <w:color w:val="auto"/>
          <w:sz w:val="32"/>
          <w:szCs w:val="32"/>
          <w:u w:val="none"/>
          <w:lang w:eastAsia="zh-CN"/>
        </w:rPr>
        <w:t>。根据考生的类别，考试按以下方式进行。</w:t>
      </w:r>
    </w:p>
    <w:p w14:paraId="5A684C25">
      <w:pPr>
        <w:keepNext w:val="0"/>
        <w:keepLines w:val="0"/>
        <w:widowControl/>
        <w:suppressLineNumbers w:val="0"/>
        <w:ind w:firstLine="640" w:firstLineChars="200"/>
        <w:jc w:val="left"/>
        <w:rPr>
          <w:rFonts w:hint="eastAsia" w:ascii="仿宋" w:hAnsi="仿宋" w:eastAsia="仿宋" w:cs="仿宋"/>
          <w:bCs/>
          <w:color w:val="auto"/>
          <w:sz w:val="32"/>
          <w:szCs w:val="32"/>
          <w:u w:val="none"/>
          <w:lang w:val="en-US" w:eastAsia="zh-CN"/>
        </w:rPr>
      </w:pPr>
      <w:r>
        <w:rPr>
          <w:rFonts w:hint="eastAsia" w:ascii="仿宋" w:hAnsi="仿宋" w:eastAsia="仿宋" w:cs="仿宋"/>
          <w:bCs/>
          <w:color w:val="auto"/>
          <w:sz w:val="32"/>
          <w:szCs w:val="32"/>
          <w:u w:val="none"/>
          <w:lang w:val="en-US" w:eastAsia="zh-CN"/>
        </w:rPr>
        <w:t>1.第一类考生：应届普通高中毕业考生。</w:t>
      </w:r>
    </w:p>
    <w:p w14:paraId="2CBBF256">
      <w:pPr>
        <w:keepNext w:val="0"/>
        <w:keepLines w:val="0"/>
        <w:widowControl/>
        <w:suppressLineNumbers w:val="0"/>
        <w:ind w:firstLine="640" w:firstLineChars="200"/>
        <w:jc w:val="left"/>
        <w:rPr>
          <w:rFonts w:hint="eastAsia" w:ascii="仿宋" w:hAnsi="仿宋" w:eastAsia="仿宋" w:cs="仿宋"/>
          <w:bCs/>
          <w:color w:val="auto"/>
          <w:sz w:val="32"/>
          <w:szCs w:val="32"/>
          <w:u w:val="none"/>
          <w:lang w:val="en-US" w:eastAsia="zh-CN"/>
        </w:rPr>
      </w:pPr>
      <w:r>
        <w:rPr>
          <w:rFonts w:hint="eastAsia" w:ascii="仿宋" w:hAnsi="仿宋" w:eastAsia="仿宋" w:cs="仿宋"/>
          <w:bCs/>
          <w:color w:val="auto"/>
          <w:sz w:val="32"/>
          <w:szCs w:val="32"/>
          <w:u w:val="none"/>
          <w:lang w:val="en-US" w:eastAsia="zh-CN"/>
        </w:rPr>
        <w:t>文化素质测试成绩以学生取得的高中学业水平合格性考试语文、数学、外语科目有效成绩代替（补考成绩不作为有效成绩），3门合计300分。</w:t>
      </w:r>
    </w:p>
    <w:p w14:paraId="5BF4E7CD">
      <w:pPr>
        <w:keepNext w:val="0"/>
        <w:keepLines w:val="0"/>
        <w:widowControl/>
        <w:suppressLineNumbers w:val="0"/>
        <w:ind w:firstLine="640" w:firstLineChars="200"/>
        <w:jc w:val="left"/>
        <w:rPr>
          <w:rFonts w:hint="eastAsia" w:ascii="仿宋" w:hAnsi="仿宋" w:eastAsia="仿宋" w:cs="仿宋"/>
          <w:bCs/>
          <w:color w:val="auto"/>
          <w:sz w:val="32"/>
          <w:szCs w:val="32"/>
          <w:u w:val="none"/>
          <w:lang w:val="en-US" w:eastAsia="zh-CN"/>
        </w:rPr>
      </w:pPr>
      <w:r>
        <w:rPr>
          <w:rFonts w:hint="eastAsia" w:ascii="仿宋" w:hAnsi="仿宋" w:eastAsia="仿宋" w:cs="仿宋"/>
          <w:bCs/>
          <w:color w:val="auto"/>
          <w:sz w:val="32"/>
          <w:szCs w:val="32"/>
          <w:u w:val="none"/>
          <w:lang w:val="en-US" w:eastAsia="zh-CN"/>
        </w:rPr>
        <w:t>职业技能测试由学校组织，采取机试闭卷方式，考试内容为政治、历史（中国近现代史）、生物（卫生健康）知识内容，分值分别按3:3:4比例，合计300分，考试时间</w:t>
      </w:r>
      <w:r>
        <w:rPr>
          <w:rFonts w:hint="eastAsia" w:ascii="仿宋" w:hAnsi="仿宋" w:eastAsia="仿宋" w:cs="仿宋"/>
          <w:color w:val="auto"/>
          <w:sz w:val="32"/>
          <w:szCs w:val="32"/>
          <w:u w:val="none"/>
          <w:lang w:val="en-US" w:eastAsia="zh-CN"/>
        </w:rPr>
        <w:t>90</w:t>
      </w:r>
      <w:r>
        <w:rPr>
          <w:rFonts w:hint="eastAsia" w:ascii="仿宋" w:hAnsi="仿宋" w:eastAsia="仿宋" w:cs="仿宋"/>
          <w:bCs/>
          <w:color w:val="auto"/>
          <w:sz w:val="32"/>
          <w:szCs w:val="32"/>
          <w:u w:val="none"/>
          <w:lang w:val="en-US" w:eastAsia="zh-CN"/>
        </w:rPr>
        <w:t>分钟，重点考察学生的职业适应性。</w:t>
      </w:r>
    </w:p>
    <w:p w14:paraId="43C531AC">
      <w:pPr>
        <w:keepNext w:val="0"/>
        <w:keepLines w:val="0"/>
        <w:widowControl/>
        <w:suppressLineNumbers w:val="0"/>
        <w:ind w:firstLine="640" w:firstLineChars="200"/>
        <w:jc w:val="left"/>
        <w:rPr>
          <w:rFonts w:hint="eastAsia" w:ascii="仿宋" w:hAnsi="仿宋" w:eastAsia="仿宋" w:cs="仿宋"/>
          <w:bCs/>
          <w:color w:val="auto"/>
          <w:sz w:val="32"/>
          <w:szCs w:val="32"/>
          <w:u w:val="none"/>
          <w:lang w:val="en-US" w:eastAsia="zh-CN"/>
        </w:rPr>
      </w:pPr>
      <w:r>
        <w:rPr>
          <w:rFonts w:hint="eastAsia" w:ascii="仿宋" w:hAnsi="仿宋" w:eastAsia="仿宋" w:cs="仿宋"/>
          <w:bCs/>
          <w:color w:val="auto"/>
          <w:sz w:val="32"/>
          <w:szCs w:val="32"/>
          <w:u w:val="none"/>
          <w:lang w:val="en-US" w:eastAsia="zh-CN"/>
        </w:rPr>
        <w:t>2.第二类考生：中职考生和往届普通高中考生及同等学力考生。</w:t>
      </w:r>
    </w:p>
    <w:p w14:paraId="0D41A42A">
      <w:pPr>
        <w:keepNext w:val="0"/>
        <w:keepLines w:val="0"/>
        <w:widowControl/>
        <w:suppressLineNumbers w:val="0"/>
        <w:ind w:firstLine="640" w:firstLineChars="200"/>
        <w:jc w:val="left"/>
        <w:rPr>
          <w:rFonts w:hint="eastAsia" w:ascii="仿宋" w:hAnsi="仿宋" w:eastAsia="仿宋" w:cs="仿宋"/>
          <w:bCs/>
          <w:color w:val="auto"/>
          <w:sz w:val="32"/>
          <w:szCs w:val="32"/>
          <w:u w:val="none"/>
          <w:lang w:val="en-US" w:eastAsia="zh-CN"/>
        </w:rPr>
      </w:pPr>
      <w:r>
        <w:rPr>
          <w:rFonts w:hint="eastAsia" w:ascii="仿宋" w:hAnsi="仿宋" w:eastAsia="仿宋" w:cs="仿宋"/>
          <w:bCs/>
          <w:color w:val="auto"/>
          <w:sz w:val="32"/>
          <w:szCs w:val="32"/>
          <w:u w:val="none"/>
          <w:lang w:val="en-US" w:eastAsia="zh-CN"/>
        </w:rPr>
        <w:t>文化素质测试由学校依据《中等职业学校公共基础课课程标准》及高中教育阶段语文、数学、英语等有关内容进行命题及考试，语文、数学、英语按5:3:2的分值比例，采取机试闭卷方式，考试时间90分钟，3门合计300分。</w:t>
      </w:r>
    </w:p>
    <w:p w14:paraId="03104192">
      <w:pPr>
        <w:keepNext w:val="0"/>
        <w:keepLines w:val="0"/>
        <w:widowControl/>
        <w:suppressLineNumbers w:val="0"/>
        <w:ind w:firstLine="640" w:firstLineChars="200"/>
        <w:jc w:val="left"/>
        <w:rPr>
          <w:rFonts w:hint="eastAsia" w:ascii="仿宋" w:hAnsi="仿宋" w:eastAsia="仿宋" w:cs="仿宋"/>
          <w:bCs/>
          <w:color w:val="auto"/>
          <w:sz w:val="32"/>
          <w:szCs w:val="32"/>
          <w:u w:val="none"/>
          <w:lang w:val="en-US" w:eastAsia="zh-CN"/>
        </w:rPr>
      </w:pPr>
      <w:r>
        <w:rPr>
          <w:rFonts w:hint="eastAsia" w:ascii="仿宋" w:hAnsi="仿宋" w:eastAsia="仿宋" w:cs="仿宋"/>
          <w:bCs/>
          <w:color w:val="auto"/>
          <w:sz w:val="32"/>
          <w:szCs w:val="32"/>
          <w:u w:val="none"/>
          <w:lang w:val="en-US" w:eastAsia="zh-CN"/>
        </w:rPr>
        <w:t>职业技能测试由学校组织，采取机试闭卷方式，考试内容为政治、历史（中国近现代史）、生物（卫生健康）知识内容，分值分别按3:3:4比例，合计300分，考试时间90分钟，重点考察学生的职业技能。</w:t>
      </w:r>
    </w:p>
    <w:p w14:paraId="54D8AB9B">
      <w:pPr>
        <w:keepNext w:val="0"/>
        <w:keepLines w:val="0"/>
        <w:widowControl/>
        <w:suppressLineNumbers w:val="0"/>
        <w:ind w:firstLine="640" w:firstLineChars="200"/>
        <w:jc w:val="left"/>
        <w:rPr>
          <w:rFonts w:hint="eastAsia" w:ascii="仿宋" w:hAnsi="仿宋" w:eastAsia="仿宋" w:cs="仿宋"/>
          <w:bCs/>
          <w:color w:val="auto"/>
          <w:sz w:val="32"/>
          <w:szCs w:val="32"/>
          <w:u w:val="none"/>
          <w:lang w:val="en-US" w:eastAsia="zh-CN"/>
        </w:rPr>
      </w:pPr>
      <w:r>
        <w:rPr>
          <w:rFonts w:hint="eastAsia" w:ascii="仿宋" w:hAnsi="仿宋" w:eastAsia="仿宋" w:cs="仿宋"/>
          <w:bCs/>
          <w:color w:val="auto"/>
          <w:sz w:val="32"/>
          <w:szCs w:val="32"/>
          <w:u w:val="none"/>
          <w:lang w:val="en-US" w:eastAsia="zh-CN"/>
        </w:rPr>
        <w:t>3.第三、第四类考生：退役军人及其他社会人员。退役军人、农民工等社会人员考生免予文化素质测试。职业技能测试由学校组织，考试范围、形式与第一、二类考生相同。</w:t>
      </w:r>
    </w:p>
    <w:p w14:paraId="038C3A37">
      <w:pPr>
        <w:keepNext w:val="0"/>
        <w:keepLines w:val="0"/>
        <w:widowControl/>
        <w:suppressLineNumbers w:val="0"/>
        <w:ind w:firstLine="640" w:firstLineChars="200"/>
        <w:jc w:val="left"/>
        <w:rPr>
          <w:rFonts w:hint="eastAsia" w:ascii="仿宋" w:hAnsi="仿宋" w:eastAsia="仿宋" w:cs="仿宋"/>
          <w:bCs/>
          <w:color w:val="auto"/>
          <w:sz w:val="32"/>
          <w:szCs w:val="32"/>
          <w:u w:val="none"/>
          <w:lang w:val="en-US" w:eastAsia="zh-CN"/>
        </w:rPr>
      </w:pPr>
      <w:r>
        <w:rPr>
          <w:rFonts w:hint="eastAsia" w:ascii="仿宋" w:hAnsi="仿宋" w:eastAsia="仿宋" w:cs="仿宋"/>
          <w:bCs/>
          <w:color w:val="auto"/>
          <w:sz w:val="32"/>
          <w:szCs w:val="32"/>
          <w:u w:val="none"/>
          <w:lang w:val="en-US" w:eastAsia="zh-CN"/>
        </w:rPr>
        <w:t>4.第五类考生：艺术体育特长生。文化素质测试根据学生类别不同，分别采取上述第一类或第二类的方式进行。职业技能测试成绩以艺术、体育专项测试成绩代替，专项测试按照《湘潭医卫职业技术学院2025年艺术、体育特长生高职单招方案》执行。</w:t>
      </w:r>
    </w:p>
    <w:p w14:paraId="6660840D">
      <w:pPr>
        <w:keepNext w:val="0"/>
        <w:keepLines w:val="0"/>
        <w:widowControl/>
        <w:suppressLineNumbers w:val="0"/>
        <w:ind w:firstLine="640" w:firstLineChars="200"/>
        <w:jc w:val="left"/>
        <w:rPr>
          <w:rFonts w:hint="eastAsia" w:ascii="仿宋" w:hAnsi="仿宋" w:eastAsia="仿宋" w:cs="仿宋"/>
          <w:bCs/>
          <w:color w:val="auto"/>
          <w:sz w:val="32"/>
          <w:szCs w:val="32"/>
          <w:u w:val="none"/>
          <w:lang w:val="en-US" w:eastAsia="zh-CN"/>
        </w:rPr>
      </w:pPr>
      <w:r>
        <w:rPr>
          <w:rFonts w:hint="eastAsia" w:ascii="仿宋" w:hAnsi="仿宋" w:eastAsia="仿宋" w:cs="仿宋"/>
          <w:bCs/>
          <w:color w:val="auto"/>
          <w:sz w:val="32"/>
          <w:szCs w:val="32"/>
          <w:u w:val="none"/>
          <w:lang w:val="en-US" w:eastAsia="zh-CN"/>
        </w:rPr>
        <w:t>5.心理测试：所有考生均应通过手机APP参加，不计入考试成绩，作为录取的依据。</w:t>
      </w:r>
    </w:p>
    <w:p w14:paraId="3CDD55E2">
      <w:pPr>
        <w:keepNext w:val="0"/>
        <w:keepLines w:val="0"/>
        <w:pageBreakBefore w:val="0"/>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第十八条</w:t>
      </w:r>
      <w:r>
        <w:rPr>
          <w:rFonts w:hint="eastAsia" w:ascii="仿宋" w:hAnsi="仿宋" w:eastAsia="仿宋" w:cs="仿宋"/>
          <w:color w:val="auto"/>
          <w:sz w:val="32"/>
          <w:szCs w:val="32"/>
          <w:u w:val="none"/>
          <w:lang w:val="en-US" w:eastAsia="zh-CN"/>
        </w:rPr>
        <w:t xml:space="preserve">  考生的综合成绩为文化素质成绩+职业技能成绩。上述第一类、第二类、第五类考生的高职单招综合成绩（总成绩）满分为600分，其中文化素质成绩与职业技能成绩占比为1：1，即分别各占300分；第三、第四类考生的综合成绩满分为300分。</w:t>
      </w:r>
    </w:p>
    <w:p w14:paraId="7D3BBE9C">
      <w:pPr>
        <w:keepNext w:val="0"/>
        <w:keepLines w:val="0"/>
        <w:pageBreakBefore w:val="0"/>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第十九条</w:t>
      </w:r>
      <w:r>
        <w:rPr>
          <w:rFonts w:hint="eastAsia" w:ascii="仿宋" w:hAnsi="仿宋" w:eastAsia="仿宋" w:cs="仿宋"/>
          <w:color w:val="auto"/>
          <w:sz w:val="32"/>
          <w:szCs w:val="32"/>
          <w:u w:val="none"/>
          <w:lang w:val="en-US" w:eastAsia="zh-CN"/>
        </w:rPr>
        <w:t xml:space="preserve">  我校针对第二类考生组织的文化素质测试为机试闭卷方式。</w:t>
      </w:r>
    </w:p>
    <w:p w14:paraId="7E854882">
      <w:pPr>
        <w:keepNext w:val="0"/>
        <w:keepLines w:val="0"/>
        <w:pageBreakBefore w:val="0"/>
        <w:kinsoku/>
        <w:wordWrap/>
        <w:overflowPunct/>
        <w:topLinePunct w:val="0"/>
        <w:autoSpaceDN/>
        <w:bidi w:val="0"/>
        <w:adjustRightInd/>
        <w:snapToGrid/>
        <w:spacing w:line="240" w:lineRule="auto"/>
        <w:ind w:firstLine="643" w:firstLineChars="200"/>
        <w:rPr>
          <w:rFonts w:hint="eastAsia" w:ascii="仿宋" w:hAnsi="仿宋" w:eastAsia="仿宋" w:cs="仿宋"/>
          <w:b w:val="0"/>
          <w:bCs w:val="0"/>
          <w:color w:val="auto"/>
          <w:sz w:val="32"/>
          <w:szCs w:val="32"/>
          <w:u w:val="none"/>
          <w:lang w:val="en-US" w:eastAsia="zh-CN"/>
        </w:rPr>
      </w:pPr>
      <w:r>
        <w:rPr>
          <w:rFonts w:hint="eastAsia" w:ascii="仿宋" w:hAnsi="仿宋" w:eastAsia="仿宋" w:cs="仿宋"/>
          <w:b/>
          <w:bCs/>
          <w:color w:val="auto"/>
          <w:sz w:val="32"/>
          <w:szCs w:val="32"/>
          <w:u w:val="none"/>
          <w:lang w:val="en-US" w:eastAsia="zh-CN"/>
        </w:rPr>
        <w:t>第二十条</w:t>
      </w:r>
      <w:r>
        <w:rPr>
          <w:rFonts w:hint="eastAsia" w:ascii="仿宋" w:hAnsi="仿宋" w:eastAsia="仿宋" w:cs="仿宋"/>
          <w:color w:val="auto"/>
          <w:sz w:val="32"/>
          <w:szCs w:val="32"/>
          <w:u w:val="none"/>
          <w:lang w:val="en-US" w:eastAsia="zh-CN"/>
        </w:rPr>
        <w:t xml:space="preserve">  我校将按照分类考试的原则，对不同类别考生的职业技能测试分别进行命题；文化素质测试、职业技能测试的有关说明、考试范围等，将在我校官网上进行公布。</w:t>
      </w:r>
    </w:p>
    <w:p w14:paraId="3CA26183">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 xml:space="preserve">第二十一条  </w:t>
      </w:r>
      <w:r>
        <w:rPr>
          <w:rFonts w:hint="eastAsia" w:ascii="仿宋" w:hAnsi="仿宋" w:eastAsia="仿宋" w:cs="仿宋"/>
          <w:color w:val="auto"/>
          <w:sz w:val="32"/>
          <w:szCs w:val="32"/>
          <w:u w:val="none"/>
        </w:rPr>
        <w:t>符合以下免试条件的考生在单招考试前向</w:t>
      </w:r>
      <w:r>
        <w:rPr>
          <w:rFonts w:hint="eastAsia" w:ascii="仿宋" w:hAnsi="仿宋" w:eastAsia="仿宋" w:cs="仿宋"/>
          <w:color w:val="auto"/>
          <w:sz w:val="32"/>
          <w:szCs w:val="32"/>
          <w:u w:val="none"/>
          <w:lang w:val="en-US" w:eastAsia="zh-CN"/>
        </w:rPr>
        <w:t>学</w:t>
      </w:r>
      <w:r>
        <w:rPr>
          <w:rFonts w:hint="eastAsia" w:ascii="仿宋" w:hAnsi="仿宋" w:eastAsia="仿宋" w:cs="仿宋"/>
          <w:color w:val="auto"/>
          <w:sz w:val="32"/>
          <w:szCs w:val="32"/>
          <w:u w:val="none"/>
        </w:rPr>
        <w:t>校申请。其中，</w:t>
      </w:r>
      <w:r>
        <w:rPr>
          <w:rFonts w:hint="eastAsia" w:ascii="仿宋" w:hAnsi="仿宋" w:eastAsia="仿宋" w:cs="仿宋"/>
          <w:color w:val="auto"/>
          <w:sz w:val="32"/>
          <w:szCs w:val="32"/>
          <w:u w:val="none"/>
          <w:lang w:eastAsia="zh-CN"/>
        </w:rPr>
        <w:t>职业技能特长申请免技能测试的考生，须在</w:t>
      </w:r>
      <w:r>
        <w:rPr>
          <w:rFonts w:hint="eastAsia" w:ascii="仿宋" w:hAnsi="仿宋" w:eastAsia="仿宋" w:cs="仿宋"/>
          <w:color w:val="auto"/>
          <w:sz w:val="32"/>
          <w:szCs w:val="32"/>
          <w:u w:val="none"/>
          <w:lang w:val="en-US" w:eastAsia="zh-CN"/>
        </w:rPr>
        <w:t>在2025年2月22日8:00前，通过现场审核方式，将相关申请材料交由我校招生就业指导处（湖南省湘潭市双拥中路湘潭医卫职业技术学院校本部综合实训楼104办公室）进行确认（联系方式：0731-58519123,18607324108，18673269694）。</w:t>
      </w:r>
      <w:r>
        <w:rPr>
          <w:rFonts w:hint="eastAsia" w:ascii="仿宋" w:hAnsi="仿宋" w:eastAsia="仿宋" w:cs="仿宋"/>
          <w:color w:val="auto"/>
          <w:sz w:val="32"/>
          <w:szCs w:val="32"/>
          <w:u w:val="none"/>
        </w:rPr>
        <w:t>免试直接录取的考生不占用单招计划数，使用</w:t>
      </w:r>
      <w:r>
        <w:rPr>
          <w:rFonts w:hint="eastAsia" w:ascii="仿宋" w:hAnsi="仿宋" w:eastAsia="仿宋" w:cs="仿宋"/>
          <w:color w:val="auto"/>
          <w:sz w:val="32"/>
          <w:szCs w:val="32"/>
          <w:u w:val="none"/>
          <w:lang w:eastAsia="zh-CN"/>
        </w:rPr>
        <w:t>我</w:t>
      </w:r>
      <w:r>
        <w:rPr>
          <w:rFonts w:hint="eastAsia" w:ascii="仿宋" w:hAnsi="仿宋" w:eastAsia="仿宋" w:cs="仿宋"/>
          <w:color w:val="auto"/>
          <w:sz w:val="32"/>
          <w:szCs w:val="32"/>
          <w:u w:val="none"/>
        </w:rPr>
        <w:t>校统招计划，在统招录取前完成录取手续办理，有关审核程序和方法由省教育考试院另行规定。</w:t>
      </w:r>
    </w:p>
    <w:p w14:paraId="548C87C1">
      <w:pPr>
        <w:keepNext w:val="0"/>
        <w:keepLines w:val="0"/>
        <w:pageBreakBefore w:val="0"/>
        <w:numPr>
          <w:ilvl w:val="0"/>
          <w:numId w:val="0"/>
        </w:numPr>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rPr>
      </w:pPr>
      <w:r>
        <w:rPr>
          <w:rFonts w:hint="eastAsia" w:ascii="仿宋" w:hAnsi="仿宋" w:eastAsia="仿宋" w:cs="仿宋"/>
          <w:color w:val="auto"/>
          <w:sz w:val="32"/>
          <w:szCs w:val="32"/>
          <w:u w:val="none"/>
          <w:lang w:val="en-US" w:eastAsia="zh-CN"/>
        </w:rPr>
        <w:t>1.</w:t>
      </w:r>
      <w:r>
        <w:rPr>
          <w:rFonts w:hint="eastAsia" w:ascii="仿宋" w:hAnsi="仿宋" w:eastAsia="仿宋" w:cs="仿宋"/>
          <w:color w:val="auto"/>
          <w:sz w:val="32"/>
          <w:szCs w:val="32"/>
          <w:u w:val="none"/>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color w:val="auto"/>
          <w:sz w:val="32"/>
          <w:szCs w:val="32"/>
          <w:u w:val="none"/>
          <w:lang w:val="en-US" w:eastAsia="zh-CN"/>
        </w:rPr>
        <w:t>录取到我校就读。</w:t>
      </w:r>
    </w:p>
    <w:p w14:paraId="43FBEECC">
      <w:pPr>
        <w:keepNext w:val="0"/>
        <w:keepLines w:val="0"/>
        <w:pageBreakBefore w:val="0"/>
        <w:numPr>
          <w:ilvl w:val="0"/>
          <w:numId w:val="0"/>
        </w:numPr>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rPr>
      </w:pPr>
      <w:r>
        <w:rPr>
          <w:rFonts w:hint="eastAsia" w:ascii="仿宋" w:hAnsi="仿宋" w:eastAsia="仿宋" w:cs="仿宋"/>
          <w:color w:val="auto"/>
          <w:sz w:val="32"/>
          <w:szCs w:val="32"/>
          <w:u w:val="none"/>
          <w:lang w:val="en-US" w:eastAsia="zh-CN"/>
        </w:rPr>
        <w:t>2.</w:t>
      </w:r>
      <w:r>
        <w:rPr>
          <w:rFonts w:hint="eastAsia" w:ascii="仿宋" w:hAnsi="仿宋" w:eastAsia="仿宋" w:cs="仿宋"/>
          <w:color w:val="auto"/>
          <w:sz w:val="32"/>
          <w:szCs w:val="32"/>
          <w:u w:val="none"/>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68A85710">
      <w:pPr>
        <w:keepNext w:val="0"/>
        <w:keepLines w:val="0"/>
        <w:pageBreakBefore w:val="0"/>
        <w:numPr>
          <w:ilvl w:val="0"/>
          <w:numId w:val="0"/>
        </w:numPr>
        <w:kinsoku/>
        <w:wordWrap/>
        <w:overflowPunct/>
        <w:topLinePunct w:val="0"/>
        <w:autoSpaceDN/>
        <w:bidi w:val="0"/>
        <w:adjustRightInd/>
        <w:snapToGrid/>
        <w:spacing w:line="240" w:lineRule="auto"/>
        <w:ind w:firstLine="640" w:firstLineChars="200"/>
        <w:rPr>
          <w:rFonts w:hint="eastAsia" w:ascii="仿宋" w:hAnsi="仿宋" w:eastAsia="仿宋" w:cs="仿宋"/>
          <w:b w:val="0"/>
          <w:bCs w:val="0"/>
          <w:color w:val="auto"/>
          <w:sz w:val="32"/>
          <w:szCs w:val="32"/>
          <w:u w:val="none"/>
          <w:lang w:val="en-US" w:eastAsia="zh-CN"/>
        </w:rPr>
      </w:pPr>
      <w:r>
        <w:rPr>
          <w:rFonts w:hint="eastAsia" w:ascii="仿宋" w:hAnsi="仿宋" w:eastAsia="仿宋" w:cs="仿宋"/>
          <w:color w:val="auto"/>
          <w:sz w:val="32"/>
          <w:szCs w:val="32"/>
          <w:u w:val="none"/>
          <w:lang w:val="en-US" w:eastAsia="zh-CN"/>
        </w:rPr>
        <w:t>3.免试考生的录取专业与其获奖赛项对应（考生如需跨专业报考，则不能享受免试政策）。</w:t>
      </w:r>
    </w:p>
    <w:p w14:paraId="65CD523D">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第二十二条</w:t>
      </w:r>
      <w:r>
        <w:rPr>
          <w:rFonts w:hint="eastAsia" w:ascii="仿宋" w:hAnsi="仿宋" w:eastAsia="仿宋" w:cs="仿宋"/>
          <w:color w:val="auto"/>
          <w:sz w:val="32"/>
          <w:szCs w:val="32"/>
          <w:u w:val="none"/>
          <w:lang w:val="en-US" w:eastAsia="zh-CN"/>
        </w:rPr>
        <w:t xml:space="preserve">  学校</w:t>
      </w:r>
      <w:r>
        <w:rPr>
          <w:rFonts w:hint="eastAsia" w:ascii="仿宋" w:hAnsi="仿宋" w:eastAsia="仿宋" w:cs="仿宋"/>
          <w:color w:val="auto"/>
          <w:sz w:val="32"/>
          <w:szCs w:val="32"/>
          <w:u w:val="none"/>
        </w:rPr>
        <w:t>按一志愿、二志愿分别组织</w:t>
      </w:r>
      <w:r>
        <w:rPr>
          <w:rFonts w:hint="eastAsia" w:ascii="仿宋" w:hAnsi="仿宋" w:eastAsia="仿宋" w:cs="仿宋"/>
          <w:color w:val="auto"/>
          <w:sz w:val="32"/>
          <w:szCs w:val="32"/>
          <w:u w:val="none"/>
          <w:lang w:val="en-US" w:eastAsia="zh-CN"/>
        </w:rPr>
        <w:t>单招</w:t>
      </w:r>
      <w:r>
        <w:rPr>
          <w:rFonts w:hint="eastAsia" w:ascii="仿宋" w:hAnsi="仿宋" w:eastAsia="仿宋" w:cs="仿宋"/>
          <w:color w:val="auto"/>
          <w:sz w:val="32"/>
          <w:szCs w:val="32"/>
          <w:u w:val="none"/>
        </w:rPr>
        <w:t>考试。第一志愿考试时间为</w:t>
      </w:r>
      <w:r>
        <w:rPr>
          <w:rFonts w:hint="eastAsia" w:ascii="仿宋" w:hAnsi="仿宋" w:eastAsia="仿宋" w:cs="仿宋"/>
          <w:color w:val="auto"/>
          <w:sz w:val="32"/>
          <w:szCs w:val="32"/>
          <w:u w:val="none"/>
          <w:lang w:eastAsia="zh-CN"/>
        </w:rPr>
        <w:t>2025</w:t>
      </w:r>
      <w:r>
        <w:rPr>
          <w:rFonts w:hint="eastAsia" w:ascii="仿宋" w:hAnsi="仿宋" w:eastAsia="仿宋" w:cs="仿宋"/>
          <w:color w:val="auto"/>
          <w:sz w:val="32"/>
          <w:szCs w:val="32"/>
          <w:u w:val="none"/>
        </w:rPr>
        <w:t>年3月</w:t>
      </w:r>
      <w:r>
        <w:rPr>
          <w:rFonts w:hint="eastAsia" w:ascii="仿宋" w:hAnsi="仿宋" w:eastAsia="仿宋" w:cs="仿宋"/>
          <w:color w:val="auto"/>
          <w:sz w:val="32"/>
          <w:szCs w:val="32"/>
          <w:u w:val="none"/>
          <w:lang w:val="en-US" w:eastAsia="zh-CN"/>
        </w:rPr>
        <w:t>8</w:t>
      </w:r>
      <w:r>
        <w:rPr>
          <w:rFonts w:hint="eastAsia" w:ascii="仿宋" w:hAnsi="仿宋" w:eastAsia="仿宋" w:cs="仿宋"/>
          <w:color w:val="auto"/>
          <w:sz w:val="32"/>
          <w:szCs w:val="32"/>
          <w:u w:val="none"/>
        </w:rPr>
        <w:t>日-</w:t>
      </w:r>
      <w:r>
        <w:rPr>
          <w:rFonts w:hint="eastAsia" w:ascii="仿宋" w:hAnsi="仿宋" w:eastAsia="仿宋" w:cs="仿宋"/>
          <w:color w:val="auto"/>
          <w:sz w:val="32"/>
          <w:szCs w:val="32"/>
          <w:u w:val="none"/>
          <w:lang w:val="en-US" w:eastAsia="zh-CN"/>
        </w:rPr>
        <w:t>9</w:t>
      </w:r>
      <w:r>
        <w:rPr>
          <w:rFonts w:hint="eastAsia" w:ascii="仿宋" w:hAnsi="仿宋" w:eastAsia="仿宋" w:cs="仿宋"/>
          <w:color w:val="auto"/>
          <w:sz w:val="32"/>
          <w:szCs w:val="32"/>
          <w:u w:val="none"/>
        </w:rPr>
        <w:t>日</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若第一志愿生源不足，</w:t>
      </w:r>
      <w:r>
        <w:rPr>
          <w:rFonts w:hint="eastAsia" w:ascii="仿宋" w:hAnsi="仿宋" w:eastAsia="仿宋" w:cs="仿宋"/>
          <w:color w:val="auto"/>
          <w:sz w:val="32"/>
          <w:szCs w:val="32"/>
          <w:u w:val="none"/>
        </w:rPr>
        <w:t>未完成单招计划</w:t>
      </w:r>
      <w:r>
        <w:rPr>
          <w:rFonts w:hint="eastAsia" w:ascii="仿宋" w:hAnsi="仿宋" w:eastAsia="仿宋" w:cs="仿宋"/>
          <w:color w:val="auto"/>
          <w:sz w:val="32"/>
          <w:szCs w:val="32"/>
          <w:u w:val="none"/>
          <w:lang w:eastAsia="zh-CN"/>
        </w:rPr>
        <w:t>，我校</w:t>
      </w:r>
      <w:r>
        <w:rPr>
          <w:rFonts w:hint="eastAsia" w:ascii="仿宋" w:hAnsi="仿宋" w:eastAsia="仿宋" w:cs="仿宋"/>
          <w:color w:val="auto"/>
          <w:sz w:val="32"/>
          <w:szCs w:val="32"/>
          <w:u w:val="none"/>
          <w:lang w:val="en-US" w:eastAsia="zh-CN"/>
        </w:rPr>
        <w:t>将</w:t>
      </w:r>
      <w:r>
        <w:rPr>
          <w:rFonts w:hint="eastAsia" w:ascii="仿宋" w:hAnsi="仿宋" w:eastAsia="仿宋" w:cs="仿宋"/>
          <w:color w:val="auto"/>
          <w:sz w:val="32"/>
          <w:szCs w:val="32"/>
          <w:u w:val="none"/>
        </w:rPr>
        <w:t>组织第二志愿考试，</w:t>
      </w:r>
      <w:r>
        <w:rPr>
          <w:rFonts w:hint="eastAsia" w:ascii="仿宋" w:hAnsi="仿宋" w:eastAsia="仿宋" w:cs="仿宋"/>
          <w:color w:val="auto"/>
          <w:sz w:val="32"/>
          <w:szCs w:val="32"/>
          <w:u w:val="none"/>
          <w:lang w:val="en-US" w:eastAsia="zh-CN"/>
        </w:rPr>
        <w:t>参考对象为第二志愿报考我校且未被第一志愿学校录取考生，</w:t>
      </w:r>
      <w:r>
        <w:rPr>
          <w:rFonts w:hint="eastAsia" w:ascii="仿宋" w:hAnsi="仿宋" w:eastAsia="仿宋" w:cs="仿宋"/>
          <w:color w:val="auto"/>
          <w:sz w:val="32"/>
          <w:szCs w:val="32"/>
          <w:u w:val="none"/>
        </w:rPr>
        <w:t>时间为</w:t>
      </w:r>
      <w:r>
        <w:rPr>
          <w:rFonts w:hint="eastAsia" w:ascii="仿宋" w:hAnsi="仿宋" w:eastAsia="仿宋" w:cs="仿宋"/>
          <w:color w:val="auto"/>
          <w:sz w:val="32"/>
          <w:szCs w:val="32"/>
          <w:u w:val="none"/>
          <w:lang w:eastAsia="zh-CN"/>
        </w:rPr>
        <w:t>2025</w:t>
      </w:r>
      <w:r>
        <w:rPr>
          <w:rFonts w:hint="eastAsia" w:ascii="仿宋" w:hAnsi="仿宋" w:eastAsia="仿宋" w:cs="仿宋"/>
          <w:color w:val="auto"/>
          <w:sz w:val="32"/>
          <w:szCs w:val="32"/>
          <w:u w:val="none"/>
        </w:rPr>
        <w:t>年4月</w:t>
      </w:r>
      <w:r>
        <w:rPr>
          <w:rFonts w:hint="eastAsia" w:ascii="仿宋" w:hAnsi="仿宋" w:eastAsia="仿宋" w:cs="仿宋"/>
          <w:color w:val="auto"/>
          <w:sz w:val="32"/>
          <w:szCs w:val="32"/>
          <w:u w:val="none"/>
          <w:lang w:val="en-US" w:eastAsia="zh-CN"/>
        </w:rPr>
        <w:t>5</w:t>
      </w:r>
      <w:r>
        <w:rPr>
          <w:rFonts w:hint="eastAsia" w:ascii="仿宋" w:hAnsi="仿宋" w:eastAsia="仿宋" w:cs="仿宋"/>
          <w:color w:val="auto"/>
          <w:sz w:val="32"/>
          <w:szCs w:val="32"/>
          <w:u w:val="none"/>
        </w:rPr>
        <w:t>日-</w:t>
      </w:r>
      <w:r>
        <w:rPr>
          <w:rFonts w:hint="eastAsia" w:ascii="仿宋" w:hAnsi="仿宋" w:eastAsia="仿宋" w:cs="仿宋"/>
          <w:color w:val="auto"/>
          <w:sz w:val="32"/>
          <w:szCs w:val="32"/>
          <w:u w:val="none"/>
          <w:lang w:val="en-US" w:eastAsia="zh-CN"/>
        </w:rPr>
        <w:t>6</w:t>
      </w:r>
      <w:r>
        <w:rPr>
          <w:rFonts w:hint="eastAsia" w:ascii="仿宋" w:hAnsi="仿宋" w:eastAsia="仿宋" w:cs="仿宋"/>
          <w:color w:val="auto"/>
          <w:sz w:val="32"/>
          <w:szCs w:val="32"/>
          <w:u w:val="none"/>
        </w:rPr>
        <w:t>日。</w:t>
      </w:r>
      <w:r>
        <w:rPr>
          <w:rFonts w:hint="eastAsia" w:ascii="仿宋" w:hAnsi="仿宋" w:eastAsia="仿宋" w:cs="仿宋"/>
          <w:color w:val="auto"/>
          <w:sz w:val="32"/>
          <w:szCs w:val="32"/>
          <w:u w:val="none"/>
          <w:lang w:eastAsia="zh-CN"/>
        </w:rPr>
        <w:t>各科目的具体考试时间及地点将在我校官网上另行公布</w:t>
      </w:r>
      <w:r>
        <w:rPr>
          <w:rFonts w:hint="eastAsia" w:ascii="仿宋" w:hAnsi="仿宋" w:eastAsia="仿宋" w:cs="仿宋"/>
          <w:color w:val="auto"/>
          <w:sz w:val="32"/>
          <w:szCs w:val="32"/>
          <w:u w:val="none"/>
        </w:rPr>
        <w:t>。</w:t>
      </w:r>
    </w:p>
    <w:p w14:paraId="0637C25D">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lang w:eastAsia="zh-CN"/>
        </w:rPr>
      </w:pPr>
      <w:r>
        <w:rPr>
          <w:rFonts w:hint="eastAsia" w:ascii="仿宋" w:hAnsi="仿宋" w:eastAsia="仿宋" w:cs="仿宋"/>
          <w:b/>
          <w:bCs/>
          <w:color w:val="auto"/>
          <w:sz w:val="32"/>
          <w:szCs w:val="32"/>
          <w:u w:val="none"/>
          <w:lang w:val="en-US" w:eastAsia="zh-CN"/>
        </w:rPr>
        <w:t xml:space="preserve">第二十三条  </w:t>
      </w:r>
      <w:r>
        <w:rPr>
          <w:rFonts w:hint="eastAsia" w:ascii="仿宋" w:hAnsi="仿宋" w:eastAsia="仿宋" w:cs="仿宋"/>
          <w:color w:val="auto"/>
          <w:sz w:val="32"/>
          <w:szCs w:val="32"/>
          <w:u w:val="none"/>
          <w:lang w:val="en-US" w:eastAsia="zh-CN"/>
        </w:rPr>
        <w:t>根据物价部门统一规定，高职单招的报考费为80元/生。报考我校第一志愿的考生</w:t>
      </w:r>
      <w:r>
        <w:rPr>
          <w:rFonts w:hint="eastAsia" w:ascii="仿宋" w:hAnsi="仿宋" w:eastAsia="仿宋" w:cs="仿宋"/>
          <w:color w:val="auto"/>
          <w:sz w:val="32"/>
          <w:szCs w:val="32"/>
          <w:u w:val="none"/>
        </w:rPr>
        <w:t>费缴纳</w:t>
      </w:r>
      <w:r>
        <w:rPr>
          <w:rFonts w:hint="eastAsia" w:ascii="仿宋" w:hAnsi="仿宋" w:eastAsia="仿宋" w:cs="仿宋"/>
          <w:color w:val="auto"/>
          <w:sz w:val="32"/>
          <w:szCs w:val="32"/>
          <w:u w:val="none"/>
          <w:lang w:val="en-US" w:eastAsia="zh-CN"/>
        </w:rPr>
        <w:t>时间为</w:t>
      </w:r>
      <w:r>
        <w:rPr>
          <w:rFonts w:hint="eastAsia" w:ascii="仿宋" w:hAnsi="仿宋" w:eastAsia="仿宋" w:cs="仿宋"/>
          <w:color w:val="auto"/>
          <w:sz w:val="32"/>
          <w:szCs w:val="32"/>
          <w:u w:val="none"/>
          <w:lang w:eastAsia="zh-CN"/>
        </w:rPr>
        <w:t>2025</w:t>
      </w:r>
      <w:r>
        <w:rPr>
          <w:rFonts w:hint="eastAsia" w:ascii="仿宋" w:hAnsi="仿宋" w:eastAsia="仿宋" w:cs="仿宋"/>
          <w:color w:val="auto"/>
          <w:sz w:val="32"/>
          <w:szCs w:val="32"/>
          <w:u w:val="none"/>
        </w:rPr>
        <w:t>年3月</w:t>
      </w:r>
      <w:r>
        <w:rPr>
          <w:rFonts w:hint="eastAsia" w:ascii="仿宋" w:hAnsi="仿宋" w:eastAsia="仿宋" w:cs="仿宋"/>
          <w:color w:val="auto"/>
          <w:sz w:val="32"/>
          <w:szCs w:val="32"/>
          <w:u w:val="none"/>
          <w:lang w:val="en-US" w:eastAsia="zh-CN"/>
        </w:rPr>
        <w:t>3</w:t>
      </w:r>
      <w:r>
        <w:rPr>
          <w:rFonts w:hint="eastAsia" w:ascii="仿宋" w:hAnsi="仿宋" w:eastAsia="仿宋" w:cs="仿宋"/>
          <w:color w:val="auto"/>
          <w:sz w:val="32"/>
          <w:szCs w:val="32"/>
          <w:u w:val="none"/>
        </w:rPr>
        <w:t>日-</w:t>
      </w:r>
      <w:r>
        <w:rPr>
          <w:rFonts w:hint="eastAsia" w:ascii="仿宋" w:hAnsi="仿宋" w:eastAsia="仿宋" w:cs="仿宋"/>
          <w:color w:val="auto"/>
          <w:sz w:val="32"/>
          <w:szCs w:val="32"/>
          <w:u w:val="none"/>
          <w:lang w:val="en-US" w:eastAsia="zh-CN"/>
        </w:rPr>
        <w:t>5</w:t>
      </w:r>
      <w:r>
        <w:rPr>
          <w:rFonts w:hint="eastAsia" w:ascii="仿宋" w:hAnsi="仿宋" w:eastAsia="仿宋" w:cs="仿宋"/>
          <w:color w:val="auto"/>
          <w:sz w:val="32"/>
          <w:szCs w:val="32"/>
          <w:u w:val="none"/>
        </w:rPr>
        <w:t>日</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缴纳方式</w:t>
      </w:r>
      <w:r>
        <w:rPr>
          <w:rFonts w:hint="eastAsia" w:ascii="仿宋" w:hAnsi="仿宋" w:eastAsia="仿宋" w:cs="仿宋"/>
          <w:color w:val="auto"/>
          <w:sz w:val="32"/>
          <w:szCs w:val="32"/>
          <w:u w:val="none"/>
          <w:lang w:eastAsia="zh-CN"/>
        </w:rPr>
        <w:t>为</w:t>
      </w:r>
      <w:r>
        <w:rPr>
          <w:rFonts w:hint="eastAsia" w:ascii="仿宋" w:hAnsi="仿宋" w:eastAsia="仿宋" w:cs="仿宋"/>
          <w:color w:val="auto"/>
          <w:sz w:val="32"/>
          <w:szCs w:val="32"/>
          <w:u w:val="none"/>
          <w:lang w:val="en-US" w:eastAsia="zh-CN"/>
        </w:rPr>
        <w:t xml:space="preserve"> 微信公众号支付 </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未在规定时间内缴费的，不得参加我校单招考试及录取。</w:t>
      </w:r>
      <w:r>
        <w:rPr>
          <w:rFonts w:hint="eastAsia" w:ascii="仿宋" w:hAnsi="仿宋" w:eastAsia="仿宋" w:cs="仿宋"/>
          <w:color w:val="auto"/>
          <w:sz w:val="32"/>
          <w:szCs w:val="32"/>
          <w:u w:val="none"/>
          <w:lang w:eastAsia="zh-CN"/>
        </w:rPr>
        <w:t>缴费成功的考生于</w:t>
      </w:r>
      <w:r>
        <w:rPr>
          <w:rFonts w:hint="eastAsia" w:ascii="仿宋" w:hAnsi="仿宋" w:eastAsia="仿宋" w:cs="仿宋"/>
          <w:color w:val="auto"/>
          <w:sz w:val="32"/>
          <w:szCs w:val="32"/>
          <w:u w:val="none"/>
          <w:lang w:val="en-US" w:eastAsia="zh-CN"/>
        </w:rPr>
        <w:t>2025年3月6日-7日登录学校招生网自行打印准考证。第二志愿考生缴费及准考证打印时间学校另行公布。缴费</w:t>
      </w:r>
      <w:r>
        <w:rPr>
          <w:rFonts w:hint="eastAsia" w:ascii="仿宋" w:hAnsi="仿宋" w:eastAsia="仿宋" w:cs="仿宋"/>
          <w:color w:val="auto"/>
          <w:sz w:val="32"/>
          <w:szCs w:val="32"/>
          <w:u w:val="none"/>
        </w:rPr>
        <w:t>咨询电话：</w:t>
      </w:r>
      <w:r>
        <w:rPr>
          <w:rFonts w:hint="eastAsia" w:ascii="仿宋" w:hAnsi="仿宋" w:eastAsia="仿宋" w:cs="仿宋"/>
          <w:color w:val="auto"/>
          <w:sz w:val="32"/>
          <w:szCs w:val="32"/>
          <w:u w:val="none"/>
          <w:lang w:val="en-US" w:eastAsia="zh-CN"/>
        </w:rPr>
        <w:t xml:space="preserve"> 0731-58519123 </w:t>
      </w:r>
      <w:r>
        <w:rPr>
          <w:rFonts w:hint="eastAsia" w:ascii="仿宋" w:hAnsi="仿宋" w:eastAsia="仿宋" w:cs="仿宋"/>
          <w:color w:val="auto"/>
          <w:sz w:val="32"/>
          <w:szCs w:val="32"/>
          <w:u w:val="none"/>
        </w:rPr>
        <w:t>，打印准考证咨询电话：</w:t>
      </w:r>
      <w:r>
        <w:rPr>
          <w:rFonts w:hint="eastAsia" w:ascii="仿宋" w:hAnsi="仿宋" w:eastAsia="仿宋" w:cs="仿宋"/>
          <w:color w:val="auto"/>
          <w:sz w:val="32"/>
          <w:szCs w:val="32"/>
          <w:u w:val="none"/>
          <w:lang w:val="en-US" w:eastAsia="zh-CN"/>
        </w:rPr>
        <w:t>18607324108，18673269694</w:t>
      </w:r>
      <w:r>
        <w:rPr>
          <w:rFonts w:hint="eastAsia" w:ascii="仿宋" w:hAnsi="仿宋" w:eastAsia="仿宋" w:cs="仿宋"/>
          <w:color w:val="auto"/>
          <w:sz w:val="32"/>
          <w:szCs w:val="32"/>
          <w:u w:val="none"/>
        </w:rPr>
        <w:t>。缴费</w:t>
      </w:r>
      <w:r>
        <w:rPr>
          <w:rFonts w:hint="eastAsia" w:ascii="仿宋" w:hAnsi="仿宋" w:eastAsia="仿宋" w:cs="仿宋"/>
          <w:color w:val="auto"/>
          <w:sz w:val="32"/>
          <w:szCs w:val="32"/>
          <w:u w:val="none"/>
          <w:lang w:val="en-US" w:eastAsia="zh-CN"/>
        </w:rPr>
        <w:t>及</w:t>
      </w:r>
      <w:r>
        <w:rPr>
          <w:rFonts w:hint="eastAsia" w:ascii="仿宋" w:hAnsi="仿宋" w:eastAsia="仿宋" w:cs="仿宋"/>
          <w:color w:val="auto"/>
          <w:sz w:val="32"/>
          <w:szCs w:val="32"/>
          <w:u w:val="none"/>
        </w:rPr>
        <w:t>准考证打印流程详见学</w:t>
      </w:r>
      <w:r>
        <w:rPr>
          <w:rFonts w:hint="eastAsia" w:ascii="仿宋" w:hAnsi="仿宋" w:eastAsia="仿宋" w:cs="仿宋"/>
          <w:color w:val="auto"/>
          <w:sz w:val="32"/>
          <w:szCs w:val="32"/>
          <w:u w:val="none"/>
          <w:lang w:eastAsia="zh-CN"/>
        </w:rPr>
        <w:t>校</w:t>
      </w:r>
      <w:r>
        <w:rPr>
          <w:rFonts w:hint="eastAsia" w:ascii="仿宋" w:hAnsi="仿宋" w:eastAsia="仿宋" w:cs="仿宋"/>
          <w:color w:val="auto"/>
          <w:sz w:val="32"/>
          <w:szCs w:val="32"/>
          <w:u w:val="none"/>
        </w:rPr>
        <w:t>招生网，网址</w:t>
      </w:r>
      <w:r>
        <w:rPr>
          <w:rFonts w:hint="eastAsia" w:ascii="仿宋" w:hAnsi="仿宋" w:eastAsia="仿宋" w:cs="仿宋"/>
          <w:color w:val="auto"/>
          <w:sz w:val="32"/>
          <w:szCs w:val="32"/>
          <w:u w:val="none"/>
          <w:lang w:val="en-US" w:eastAsia="zh-CN"/>
        </w:rPr>
        <w:t>：</w:t>
      </w:r>
      <w:r>
        <w:rPr>
          <w:rFonts w:hint="eastAsia" w:ascii="仿宋" w:hAnsi="仿宋" w:eastAsia="仿宋" w:cs="仿宋"/>
          <w:color w:val="auto"/>
          <w:sz w:val="32"/>
          <w:szCs w:val="32"/>
          <w:u w:val="none"/>
        </w:rPr>
        <w:t>http:</w:t>
      </w:r>
      <w:r>
        <w:rPr>
          <w:rFonts w:hint="eastAsia" w:ascii="仿宋" w:hAnsi="仿宋" w:eastAsia="仿宋" w:cs="仿宋"/>
          <w:color w:val="auto"/>
          <w:sz w:val="32"/>
          <w:szCs w:val="32"/>
          <w:u w:val="none"/>
          <w:lang w:val="en-US" w:eastAsia="zh-CN"/>
        </w:rPr>
        <w:t>//</w:t>
      </w:r>
      <w:r>
        <w:rPr>
          <w:rFonts w:hint="eastAsia" w:ascii="仿宋" w:hAnsi="仿宋" w:eastAsia="仿宋" w:cs="仿宋"/>
          <w:color w:val="auto"/>
          <w:sz w:val="32"/>
          <w:szCs w:val="32"/>
          <w:u w:val="none"/>
        </w:rPr>
        <w:t>xtywzyzs.bibibi.net</w:t>
      </w:r>
      <w:r>
        <w:rPr>
          <w:rFonts w:hint="eastAsia" w:ascii="仿宋" w:hAnsi="仿宋" w:eastAsia="仿宋" w:cs="仿宋"/>
          <w:color w:val="auto"/>
          <w:sz w:val="32"/>
          <w:szCs w:val="32"/>
          <w:u w:val="none"/>
          <w:lang w:eastAsia="zh-CN"/>
        </w:rPr>
        <w:t>。</w:t>
      </w:r>
    </w:p>
    <w:p w14:paraId="6A0BC86E">
      <w:pPr>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第二十四条</w:t>
      </w:r>
      <w:r>
        <w:rPr>
          <w:rFonts w:hint="eastAsia" w:ascii="仿宋" w:hAnsi="仿宋" w:eastAsia="仿宋" w:cs="仿宋"/>
          <w:color w:val="auto"/>
          <w:sz w:val="32"/>
          <w:szCs w:val="32"/>
          <w:u w:val="none"/>
          <w:lang w:val="en-US" w:eastAsia="zh-CN"/>
        </w:rPr>
        <w:t xml:space="preserve">  我校单招考试在省教育考试院的指导下，参照国家教育考试规定进行组织。在学校招生工作领导小组的统筹下，教务、招生等部门共同组织考务工作。具体</w:t>
      </w:r>
      <w:r>
        <w:rPr>
          <w:rFonts w:hint="eastAsia" w:ascii="仿宋" w:hAnsi="仿宋" w:eastAsia="仿宋" w:cs="仿宋"/>
          <w:color w:val="auto"/>
          <w:sz w:val="32"/>
          <w:szCs w:val="32"/>
          <w:u w:val="none"/>
        </w:rPr>
        <w:t>由</w:t>
      </w:r>
      <w:r>
        <w:rPr>
          <w:rFonts w:hint="eastAsia" w:ascii="仿宋" w:hAnsi="仿宋" w:eastAsia="仿宋" w:cs="仿宋"/>
          <w:color w:val="auto"/>
          <w:sz w:val="32"/>
          <w:szCs w:val="32"/>
          <w:u w:val="none"/>
          <w:lang w:eastAsia="zh-CN"/>
        </w:rPr>
        <w:t>招生就业指导处</w:t>
      </w:r>
      <w:r>
        <w:rPr>
          <w:rFonts w:hint="eastAsia" w:ascii="仿宋" w:hAnsi="仿宋" w:eastAsia="仿宋" w:cs="仿宋"/>
          <w:color w:val="auto"/>
          <w:sz w:val="32"/>
          <w:szCs w:val="32"/>
          <w:u w:val="none"/>
        </w:rPr>
        <w:t>负责按国考要求制定具体的</w:t>
      </w:r>
      <w:r>
        <w:rPr>
          <w:rFonts w:hint="eastAsia" w:ascii="仿宋" w:hAnsi="仿宋" w:eastAsia="仿宋" w:cs="仿宋"/>
          <w:color w:val="auto"/>
          <w:sz w:val="32"/>
          <w:szCs w:val="32"/>
          <w:u w:val="none"/>
          <w:lang w:eastAsia="zh-CN"/>
        </w:rPr>
        <w:t>考试</w:t>
      </w:r>
      <w:r>
        <w:rPr>
          <w:rFonts w:hint="eastAsia" w:ascii="仿宋" w:hAnsi="仿宋" w:eastAsia="仿宋" w:cs="仿宋"/>
          <w:color w:val="auto"/>
          <w:sz w:val="32"/>
          <w:szCs w:val="32"/>
          <w:u w:val="none"/>
        </w:rPr>
        <w:t>方案</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教务处牵头组织命题并负责其保密工作</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根据报考人数合理安排考场并组织有序考试</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教务处</w:t>
      </w:r>
      <w:r>
        <w:rPr>
          <w:rFonts w:hint="eastAsia" w:ascii="仿宋" w:hAnsi="仿宋" w:eastAsia="仿宋" w:cs="仿宋"/>
          <w:color w:val="auto"/>
          <w:sz w:val="32"/>
          <w:szCs w:val="32"/>
          <w:u w:val="none"/>
        </w:rPr>
        <w:t>组织相关专家参照湖南省普通高考评卷及登分工作有关要求</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制定科学合理的评判标准，加大信息公开及结果公示力度，确保考试评判工作公正、透明。</w:t>
      </w:r>
    </w:p>
    <w:p w14:paraId="158D6D54">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b/>
          <w:bCs/>
          <w:color w:val="auto"/>
          <w:sz w:val="36"/>
          <w:szCs w:val="36"/>
          <w:u w:val="none"/>
          <w:lang w:eastAsia="zh-CN"/>
        </w:rPr>
      </w:pPr>
      <w:r>
        <w:rPr>
          <w:rFonts w:hint="eastAsia" w:ascii="黑体" w:hAnsi="黑体" w:eastAsia="黑体" w:cs="黑体"/>
          <w:b/>
          <w:bCs/>
          <w:color w:val="auto"/>
          <w:sz w:val="36"/>
          <w:szCs w:val="36"/>
          <w:u w:val="none"/>
          <w:lang w:val="en-US" w:eastAsia="zh-CN"/>
        </w:rPr>
        <w:t>第六章  单招</w:t>
      </w:r>
      <w:r>
        <w:rPr>
          <w:rFonts w:hint="eastAsia" w:ascii="黑体" w:hAnsi="黑体" w:eastAsia="黑体" w:cs="黑体"/>
          <w:b/>
          <w:bCs/>
          <w:color w:val="auto"/>
          <w:sz w:val="36"/>
          <w:szCs w:val="36"/>
          <w:u w:val="none"/>
          <w:lang w:eastAsia="zh-CN"/>
        </w:rPr>
        <w:t>录取</w:t>
      </w:r>
    </w:p>
    <w:p w14:paraId="0D3F6FDB">
      <w:pPr>
        <w:keepNext w:val="0"/>
        <w:keepLines w:val="0"/>
        <w:pageBreakBefore w:val="0"/>
        <w:widowControl/>
        <w:numPr>
          <w:ilvl w:val="0"/>
          <w:numId w:val="0"/>
        </w:numPr>
        <w:shd w:val="clear" w:color="auto" w:fill="FFFFFF"/>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第二十五条</w:t>
      </w:r>
      <w:r>
        <w:rPr>
          <w:rFonts w:hint="eastAsia" w:ascii="仿宋" w:hAnsi="仿宋" w:eastAsia="仿宋" w:cs="仿宋"/>
          <w:color w:val="auto"/>
          <w:sz w:val="32"/>
          <w:szCs w:val="32"/>
          <w:u w:val="none"/>
          <w:lang w:val="en-US" w:eastAsia="zh-CN"/>
        </w:rPr>
        <w:t xml:space="preserve">  应届普通高中毕业考生（第一类考生）、中职考生和往届普通高中考生及同等学力考生（第二类考生）的类别确定</w:t>
      </w:r>
      <w:r>
        <w:rPr>
          <w:rFonts w:hint="eastAsia" w:ascii="仿宋" w:hAnsi="仿宋" w:eastAsia="仿宋" w:cs="仿宋"/>
          <w:color w:val="auto"/>
          <w:sz w:val="32"/>
          <w:szCs w:val="32"/>
          <w:u w:val="none"/>
        </w:rPr>
        <w:t>及</w:t>
      </w:r>
      <w:r>
        <w:rPr>
          <w:rFonts w:hint="eastAsia" w:ascii="仿宋" w:hAnsi="仿宋" w:eastAsia="仿宋" w:cs="仿宋"/>
          <w:color w:val="auto"/>
          <w:sz w:val="32"/>
          <w:szCs w:val="32"/>
          <w:u w:val="none"/>
          <w:lang w:val="en-US" w:eastAsia="zh-CN"/>
        </w:rPr>
        <w:t>普通</w:t>
      </w:r>
      <w:r>
        <w:rPr>
          <w:rFonts w:hint="eastAsia" w:ascii="仿宋" w:hAnsi="仿宋" w:eastAsia="仿宋" w:cs="仿宋"/>
          <w:color w:val="auto"/>
          <w:sz w:val="32"/>
          <w:szCs w:val="32"/>
          <w:u w:val="none"/>
        </w:rPr>
        <w:t>高中学业水平合格性考试成绩的认定以省教育考试院提供的数据为依据。</w:t>
      </w:r>
      <w:r>
        <w:rPr>
          <w:rFonts w:hint="eastAsia" w:ascii="仿宋" w:hAnsi="仿宋" w:eastAsia="仿宋" w:cs="仿宋"/>
          <w:color w:val="auto"/>
          <w:sz w:val="32"/>
          <w:szCs w:val="32"/>
          <w:u w:val="none"/>
          <w:lang w:val="en-US" w:eastAsia="zh-CN"/>
        </w:rPr>
        <w:t>普通</w:t>
      </w:r>
      <w:r>
        <w:rPr>
          <w:rFonts w:hint="eastAsia" w:ascii="仿宋" w:hAnsi="仿宋" w:eastAsia="仿宋" w:cs="仿宋"/>
          <w:color w:val="auto"/>
          <w:sz w:val="32"/>
          <w:szCs w:val="32"/>
          <w:u w:val="none"/>
        </w:rPr>
        <w:t>高中学业水平合格性考试</w:t>
      </w:r>
      <w:r>
        <w:rPr>
          <w:rFonts w:hint="eastAsia" w:ascii="仿宋" w:hAnsi="仿宋" w:eastAsia="仿宋" w:cs="仿宋"/>
          <w:color w:val="auto"/>
          <w:sz w:val="32"/>
          <w:szCs w:val="32"/>
          <w:u w:val="none"/>
          <w:lang w:val="en-US" w:eastAsia="zh-CN"/>
        </w:rPr>
        <w:t>语文、数学、外语</w:t>
      </w:r>
      <w:r>
        <w:rPr>
          <w:rFonts w:hint="eastAsia" w:ascii="仿宋" w:hAnsi="仿宋" w:eastAsia="仿宋" w:cs="仿宋"/>
          <w:color w:val="auto"/>
          <w:sz w:val="32"/>
          <w:szCs w:val="32"/>
          <w:u w:val="none"/>
        </w:rPr>
        <w:t>有效成绩不全的应届普</w:t>
      </w:r>
      <w:r>
        <w:rPr>
          <w:rFonts w:hint="eastAsia" w:ascii="仿宋" w:hAnsi="仿宋" w:eastAsia="仿宋" w:cs="仿宋"/>
          <w:color w:val="auto"/>
          <w:sz w:val="32"/>
          <w:szCs w:val="32"/>
          <w:u w:val="none"/>
          <w:lang w:val="en-US" w:eastAsia="zh-CN"/>
        </w:rPr>
        <w:t>通</w:t>
      </w:r>
      <w:r>
        <w:rPr>
          <w:rFonts w:hint="eastAsia" w:ascii="仿宋" w:hAnsi="仿宋" w:eastAsia="仿宋" w:cs="仿宋"/>
          <w:color w:val="auto"/>
          <w:sz w:val="32"/>
          <w:szCs w:val="32"/>
          <w:u w:val="none"/>
        </w:rPr>
        <w:t>高</w:t>
      </w:r>
      <w:r>
        <w:rPr>
          <w:rFonts w:hint="eastAsia" w:ascii="仿宋" w:hAnsi="仿宋" w:eastAsia="仿宋" w:cs="仿宋"/>
          <w:color w:val="auto"/>
          <w:sz w:val="32"/>
          <w:szCs w:val="32"/>
          <w:u w:val="none"/>
          <w:lang w:val="en-US" w:eastAsia="zh-CN"/>
        </w:rPr>
        <w:t>中毕业考生</w:t>
      </w:r>
      <w:r>
        <w:rPr>
          <w:rFonts w:hint="eastAsia" w:ascii="仿宋" w:hAnsi="仿宋" w:eastAsia="仿宋" w:cs="仿宋"/>
          <w:color w:val="auto"/>
          <w:sz w:val="32"/>
          <w:szCs w:val="32"/>
          <w:u w:val="none"/>
        </w:rPr>
        <w:t>必须按照</w:t>
      </w:r>
      <w:r>
        <w:rPr>
          <w:rFonts w:hint="eastAsia" w:ascii="仿宋" w:hAnsi="仿宋" w:eastAsia="仿宋" w:cs="仿宋"/>
          <w:color w:val="auto"/>
          <w:sz w:val="32"/>
          <w:szCs w:val="32"/>
          <w:u w:val="none"/>
          <w:lang w:val="en-US" w:eastAsia="zh-CN"/>
        </w:rPr>
        <w:t>中职考生和往届普通高中考生及同等学力考生</w:t>
      </w:r>
      <w:r>
        <w:rPr>
          <w:rFonts w:hint="eastAsia" w:ascii="仿宋" w:hAnsi="仿宋" w:eastAsia="仿宋" w:cs="仿宋"/>
          <w:color w:val="auto"/>
          <w:sz w:val="32"/>
          <w:szCs w:val="32"/>
          <w:u w:val="none"/>
        </w:rPr>
        <w:t>的要求参加文化素质测试</w:t>
      </w:r>
      <w:r>
        <w:rPr>
          <w:rFonts w:hint="eastAsia" w:ascii="仿宋" w:hAnsi="仿宋" w:eastAsia="仿宋" w:cs="仿宋"/>
          <w:color w:val="auto"/>
          <w:sz w:val="32"/>
          <w:szCs w:val="32"/>
          <w:u w:val="none"/>
          <w:lang w:val="en-US" w:eastAsia="zh-CN"/>
        </w:rPr>
        <w:t>及</w:t>
      </w:r>
      <w:r>
        <w:rPr>
          <w:rFonts w:hint="eastAsia" w:ascii="仿宋" w:hAnsi="仿宋" w:eastAsia="仿宋" w:cs="仿宋"/>
          <w:color w:val="auto"/>
          <w:sz w:val="32"/>
          <w:szCs w:val="32"/>
          <w:u w:val="none"/>
        </w:rPr>
        <w:t>录取。</w:t>
      </w:r>
    </w:p>
    <w:p w14:paraId="3340B817">
      <w:pPr>
        <w:keepNext w:val="0"/>
        <w:keepLines w:val="0"/>
        <w:pageBreakBefore w:val="0"/>
        <w:widowControl/>
        <w:numPr>
          <w:ilvl w:val="0"/>
          <w:numId w:val="0"/>
        </w:numPr>
        <w:shd w:val="clear" w:color="auto" w:fill="FFFFFF"/>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第二十六条</w:t>
      </w:r>
      <w:r>
        <w:rPr>
          <w:rFonts w:hint="eastAsia" w:ascii="仿宋" w:hAnsi="仿宋" w:eastAsia="仿宋" w:cs="仿宋"/>
          <w:color w:val="auto"/>
          <w:sz w:val="32"/>
          <w:szCs w:val="32"/>
          <w:u w:val="none"/>
          <w:lang w:val="en-US" w:eastAsia="zh-CN"/>
        </w:rPr>
        <w:t xml:space="preserve">  单招录取首先对报考单列计划的考生（第三类、第四类、第五类考生）进行录取，单列计划只录取第一志愿报考的考生，如有剩余单列计划则转为普通类计划录取第一类、第二类考生。</w:t>
      </w:r>
    </w:p>
    <w:p w14:paraId="1484961D">
      <w:pPr>
        <w:keepNext w:val="0"/>
        <w:keepLines w:val="0"/>
        <w:pageBreakBefore w:val="0"/>
        <w:widowControl/>
        <w:numPr>
          <w:ilvl w:val="0"/>
          <w:numId w:val="0"/>
        </w:numPr>
        <w:shd w:val="clear" w:color="auto" w:fill="FFFFFF"/>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 xml:space="preserve">第二十七条  </w:t>
      </w:r>
      <w:r>
        <w:rPr>
          <w:rFonts w:hint="eastAsia" w:ascii="仿宋" w:hAnsi="仿宋" w:eastAsia="仿宋" w:cs="仿宋"/>
          <w:color w:val="auto"/>
          <w:sz w:val="32"/>
          <w:szCs w:val="32"/>
          <w:u w:val="none"/>
        </w:rPr>
        <w:t>普通类考生分类别分专业招生计划以实际参考的考生人数为基数，按专业计划数除以该专业参考总人数再乘以各类别参考人数的计算公式列出各专业</w:t>
      </w:r>
      <w:r>
        <w:rPr>
          <w:rFonts w:hint="eastAsia" w:ascii="仿宋" w:hAnsi="仿宋" w:eastAsia="仿宋" w:cs="仿宋"/>
          <w:color w:val="auto"/>
          <w:sz w:val="32"/>
          <w:szCs w:val="32"/>
          <w:u w:val="none"/>
          <w:lang w:eastAsia="zh-CN"/>
        </w:rPr>
        <w:t>第一类</w:t>
      </w:r>
      <w:r>
        <w:rPr>
          <w:rFonts w:hint="eastAsia" w:ascii="仿宋" w:hAnsi="仿宋" w:eastAsia="仿宋" w:cs="仿宋"/>
          <w:color w:val="auto"/>
          <w:sz w:val="32"/>
          <w:szCs w:val="32"/>
          <w:u w:val="none"/>
        </w:rPr>
        <w:t>考生（具有202</w:t>
      </w:r>
      <w:r>
        <w:rPr>
          <w:rFonts w:hint="eastAsia" w:ascii="仿宋" w:hAnsi="仿宋" w:eastAsia="仿宋" w:cs="仿宋"/>
          <w:color w:val="auto"/>
          <w:sz w:val="32"/>
          <w:szCs w:val="32"/>
          <w:u w:val="none"/>
          <w:lang w:val="en-US" w:eastAsia="zh-CN"/>
        </w:rPr>
        <w:t>4</w:t>
      </w:r>
      <w:r>
        <w:rPr>
          <w:rFonts w:hint="eastAsia" w:ascii="仿宋" w:hAnsi="仿宋" w:eastAsia="仿宋" w:cs="仿宋"/>
          <w:color w:val="auto"/>
          <w:sz w:val="32"/>
          <w:szCs w:val="32"/>
          <w:u w:val="none"/>
        </w:rPr>
        <w:t>年普通高中学业水平合格性考试有效成绩）、</w:t>
      </w:r>
      <w:r>
        <w:rPr>
          <w:rFonts w:hint="eastAsia" w:ascii="仿宋" w:hAnsi="仿宋" w:eastAsia="仿宋" w:cs="仿宋"/>
          <w:color w:val="auto"/>
          <w:sz w:val="32"/>
          <w:szCs w:val="32"/>
          <w:u w:val="none"/>
          <w:lang w:eastAsia="zh-CN"/>
        </w:rPr>
        <w:t>第二类考生</w:t>
      </w:r>
      <w:r>
        <w:rPr>
          <w:rFonts w:hint="eastAsia" w:ascii="仿宋" w:hAnsi="仿宋" w:eastAsia="仿宋" w:cs="仿宋"/>
          <w:color w:val="auto"/>
          <w:sz w:val="32"/>
          <w:szCs w:val="32"/>
          <w:u w:val="none"/>
        </w:rPr>
        <w:t>（含普通高中学业水平合格性考试有效成绩不全的应届普通高中考生</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的实际录取计划数。例如，某专业招生计划共100人，单列</w:t>
      </w:r>
      <w:r>
        <w:rPr>
          <w:rFonts w:hint="eastAsia" w:ascii="仿宋" w:hAnsi="仿宋" w:eastAsia="仿宋" w:cs="仿宋"/>
          <w:color w:val="auto"/>
          <w:sz w:val="32"/>
          <w:szCs w:val="32"/>
          <w:u w:val="none"/>
          <w:lang w:eastAsia="zh-CN"/>
        </w:rPr>
        <w:t>计划已</w:t>
      </w:r>
      <w:r>
        <w:rPr>
          <w:rFonts w:hint="eastAsia" w:ascii="仿宋" w:hAnsi="仿宋" w:eastAsia="仿宋" w:cs="仿宋"/>
          <w:color w:val="auto"/>
          <w:sz w:val="32"/>
          <w:szCs w:val="32"/>
          <w:u w:val="none"/>
        </w:rPr>
        <w:t>录取5人，剩余计划95人</w:t>
      </w:r>
      <w:r>
        <w:rPr>
          <w:rFonts w:hint="eastAsia" w:ascii="仿宋" w:hAnsi="仿宋" w:eastAsia="仿宋" w:cs="仿宋"/>
          <w:color w:val="auto"/>
          <w:sz w:val="32"/>
          <w:szCs w:val="32"/>
          <w:u w:val="none"/>
          <w:lang w:eastAsia="zh-CN"/>
        </w:rPr>
        <w:t>录取第一类、第二类学生</w:t>
      </w:r>
      <w:r>
        <w:rPr>
          <w:rFonts w:hint="eastAsia" w:ascii="仿宋" w:hAnsi="仿宋" w:eastAsia="仿宋" w:cs="仿宋"/>
          <w:color w:val="auto"/>
          <w:sz w:val="32"/>
          <w:szCs w:val="32"/>
          <w:u w:val="none"/>
        </w:rPr>
        <w:t>，如</w:t>
      </w:r>
      <w:r>
        <w:rPr>
          <w:rFonts w:hint="eastAsia" w:ascii="仿宋" w:hAnsi="仿宋" w:eastAsia="仿宋" w:cs="仿宋"/>
          <w:color w:val="auto"/>
          <w:sz w:val="32"/>
          <w:szCs w:val="32"/>
          <w:u w:val="none"/>
          <w:lang w:eastAsia="zh-CN"/>
        </w:rPr>
        <w:t>第一类考生</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eastAsia="zh-CN"/>
        </w:rPr>
        <w:t>第二类考生</w:t>
      </w:r>
      <w:r>
        <w:rPr>
          <w:rFonts w:hint="eastAsia" w:ascii="仿宋" w:hAnsi="仿宋" w:eastAsia="仿宋" w:cs="仿宋"/>
          <w:color w:val="auto"/>
          <w:sz w:val="32"/>
          <w:szCs w:val="32"/>
          <w:u w:val="none"/>
        </w:rPr>
        <w:t>一志愿</w:t>
      </w:r>
      <w:r>
        <w:rPr>
          <w:rFonts w:hint="eastAsia" w:ascii="仿宋" w:hAnsi="仿宋" w:eastAsia="仿宋" w:cs="仿宋"/>
          <w:color w:val="auto"/>
          <w:sz w:val="32"/>
          <w:szCs w:val="32"/>
          <w:u w:val="none"/>
          <w:lang w:eastAsia="zh-CN"/>
        </w:rPr>
        <w:t>实际参考的人数分别为</w:t>
      </w:r>
      <w:r>
        <w:rPr>
          <w:rFonts w:hint="eastAsia" w:ascii="仿宋" w:hAnsi="仿宋" w:eastAsia="仿宋" w:cs="仿宋"/>
          <w:color w:val="auto"/>
          <w:sz w:val="32"/>
          <w:szCs w:val="32"/>
          <w:u w:val="none"/>
        </w:rPr>
        <w:t>150、50人，</w:t>
      </w:r>
      <w:r>
        <w:rPr>
          <w:rFonts w:hint="eastAsia" w:ascii="仿宋" w:hAnsi="仿宋" w:eastAsia="仿宋" w:cs="仿宋"/>
          <w:color w:val="auto"/>
          <w:sz w:val="32"/>
          <w:szCs w:val="32"/>
          <w:u w:val="none"/>
          <w:lang w:eastAsia="zh-CN"/>
        </w:rPr>
        <w:t>根据同比例公示计算可得第一类、第二类考生的计划数</w:t>
      </w:r>
      <w:r>
        <w:rPr>
          <w:rFonts w:hint="eastAsia" w:ascii="仿宋" w:hAnsi="仿宋" w:eastAsia="仿宋" w:cs="仿宋"/>
          <w:color w:val="auto"/>
          <w:sz w:val="32"/>
          <w:szCs w:val="32"/>
          <w:u w:val="none"/>
        </w:rPr>
        <w:t>为71、24人</w:t>
      </w:r>
      <w:r>
        <w:rPr>
          <w:rFonts w:hint="eastAsia" w:ascii="仿宋" w:hAnsi="仿宋" w:eastAsia="仿宋" w:cs="仿宋"/>
          <w:color w:val="auto"/>
          <w:sz w:val="32"/>
          <w:szCs w:val="32"/>
          <w:u w:val="none"/>
          <w:lang w:eastAsia="zh-CN"/>
        </w:rPr>
        <w:t>。第一类考生计划数计算公式：</w:t>
      </w:r>
      <w:r>
        <w:rPr>
          <w:rFonts w:hint="eastAsia" w:ascii="仿宋" w:hAnsi="仿宋" w:eastAsia="仿宋" w:cs="仿宋"/>
          <w:color w:val="auto"/>
          <w:sz w:val="32"/>
          <w:szCs w:val="32"/>
          <w:u w:val="none"/>
          <w:lang w:val="en-US" w:eastAsia="zh-CN"/>
        </w:rPr>
        <w:t>95/（150+50）×150</w:t>
      </w:r>
      <w:r>
        <w:rPr>
          <w:rFonts w:hint="eastAsia" w:ascii="仿宋" w:hAnsi="仿宋" w:eastAsia="仿宋" w:cs="仿宋"/>
          <w:color w:val="auto"/>
          <w:sz w:val="32"/>
          <w:szCs w:val="32"/>
          <w:u w:val="none"/>
        </w:rPr>
        <w:t>。各类别各专业计划确定后，录取过程中不再调整和追加。</w:t>
      </w:r>
    </w:p>
    <w:p w14:paraId="1D0ED769">
      <w:pPr>
        <w:keepNext w:val="0"/>
        <w:keepLines w:val="0"/>
        <w:pageBreakBefore w:val="0"/>
        <w:widowControl/>
        <w:shd w:val="clear" w:color="auto" w:fill="FFFFFF"/>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eastAsia="zh-CN"/>
        </w:rPr>
        <w:t>第二十八条</w:t>
      </w:r>
      <w:r>
        <w:rPr>
          <w:rFonts w:hint="eastAsia" w:ascii="仿宋" w:hAnsi="仿宋" w:eastAsia="仿宋" w:cs="仿宋"/>
          <w:color w:val="auto"/>
          <w:sz w:val="32"/>
          <w:szCs w:val="32"/>
          <w:u w:val="none"/>
          <w:lang w:val="en-US" w:eastAsia="zh-CN"/>
        </w:rPr>
        <w:t xml:space="preserve">  单招录取工作按照“学校负责、招办监督”的原则进行。各类别录取时，按照分数优先、遵循志愿的原则进行。各类别按照以下顺序进行：</w:t>
      </w:r>
    </w:p>
    <w:p w14:paraId="5825450B">
      <w:pPr>
        <w:keepNext w:val="0"/>
        <w:keepLines w:val="0"/>
        <w:pageBreakBefore w:val="0"/>
        <w:widowControl/>
        <w:shd w:val="clear" w:color="auto" w:fill="FFFFFF"/>
        <w:kinsoku/>
        <w:wordWrap/>
        <w:overflowPunct/>
        <w:topLinePunct w:val="0"/>
        <w:autoSpaceDN/>
        <w:bidi w:val="0"/>
        <w:adjustRightInd/>
        <w:snapToGrid/>
        <w:spacing w:line="240" w:lineRule="auto"/>
        <w:ind w:firstLine="640" w:firstLineChars="200"/>
        <w:jc w:val="left"/>
        <w:rPr>
          <w:rFonts w:hint="eastAsia" w:ascii="仿宋" w:hAnsi="仿宋" w:eastAsia="仿宋" w:cs="仿宋"/>
          <w:color w:val="auto"/>
          <w:sz w:val="32"/>
          <w:szCs w:val="32"/>
          <w:u w:val="none"/>
        </w:rPr>
      </w:pPr>
      <w:r>
        <w:rPr>
          <w:rFonts w:hint="eastAsia" w:ascii="仿宋" w:hAnsi="仿宋" w:eastAsia="仿宋" w:cs="仿宋"/>
          <w:color w:val="auto"/>
          <w:sz w:val="32"/>
          <w:szCs w:val="32"/>
          <w:u w:val="none"/>
          <w:lang w:val="en-US" w:eastAsia="zh-CN"/>
        </w:rPr>
        <w:t>1</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退役军人</w:t>
      </w:r>
      <w:r>
        <w:rPr>
          <w:rFonts w:hint="eastAsia" w:ascii="仿宋" w:hAnsi="仿宋" w:eastAsia="仿宋" w:cs="仿宋"/>
          <w:color w:val="auto"/>
          <w:sz w:val="32"/>
          <w:szCs w:val="32"/>
          <w:u w:val="none"/>
          <w:lang w:eastAsia="zh-CN"/>
        </w:rPr>
        <w:t>考生。</w:t>
      </w:r>
      <w:r>
        <w:rPr>
          <w:rFonts w:hint="eastAsia" w:ascii="仿宋" w:hAnsi="仿宋" w:eastAsia="仿宋" w:cs="仿宋"/>
          <w:color w:val="auto"/>
          <w:sz w:val="32"/>
          <w:szCs w:val="32"/>
          <w:u w:val="none"/>
        </w:rPr>
        <w:t>按考生职业</w:t>
      </w:r>
      <w:r>
        <w:rPr>
          <w:rFonts w:hint="eastAsia" w:ascii="仿宋" w:hAnsi="仿宋" w:eastAsia="仿宋" w:cs="仿宋"/>
          <w:color w:val="auto"/>
          <w:sz w:val="32"/>
          <w:szCs w:val="32"/>
          <w:u w:val="none"/>
          <w:lang w:val="en-US" w:eastAsia="zh-CN"/>
        </w:rPr>
        <w:t>技能</w:t>
      </w:r>
      <w:r>
        <w:rPr>
          <w:rFonts w:hint="eastAsia" w:ascii="仿宋" w:hAnsi="仿宋" w:eastAsia="仿宋" w:cs="仿宋"/>
          <w:color w:val="auto"/>
          <w:sz w:val="32"/>
          <w:szCs w:val="32"/>
          <w:u w:val="none"/>
        </w:rPr>
        <w:t>测试</w:t>
      </w:r>
      <w:r>
        <w:rPr>
          <w:rFonts w:hint="eastAsia" w:ascii="仿宋" w:hAnsi="仿宋" w:eastAsia="仿宋" w:cs="仿宋"/>
          <w:color w:val="auto"/>
          <w:sz w:val="32"/>
          <w:szCs w:val="32"/>
          <w:u w:val="none"/>
          <w:lang w:val="en-US" w:eastAsia="zh-CN"/>
        </w:rPr>
        <w:t>综合</w:t>
      </w:r>
      <w:r>
        <w:rPr>
          <w:rFonts w:hint="eastAsia" w:ascii="仿宋" w:hAnsi="仿宋" w:eastAsia="仿宋" w:cs="仿宋"/>
          <w:color w:val="auto"/>
          <w:sz w:val="32"/>
          <w:szCs w:val="32"/>
          <w:u w:val="none"/>
        </w:rPr>
        <w:t>成绩从高分到低分进行录取，录</w:t>
      </w:r>
      <w:r>
        <w:rPr>
          <w:rFonts w:hint="eastAsia" w:ascii="仿宋" w:hAnsi="仿宋" w:eastAsia="仿宋" w:cs="仿宋"/>
          <w:color w:val="auto"/>
          <w:sz w:val="32"/>
          <w:szCs w:val="32"/>
          <w:u w:val="none"/>
          <w:lang w:eastAsia="zh-CN"/>
        </w:rPr>
        <w:t>完</w:t>
      </w:r>
      <w:r>
        <w:rPr>
          <w:rFonts w:hint="eastAsia" w:ascii="仿宋" w:hAnsi="仿宋" w:eastAsia="仿宋" w:cs="仿宋"/>
          <w:color w:val="auto"/>
          <w:sz w:val="32"/>
          <w:szCs w:val="32"/>
          <w:u w:val="none"/>
        </w:rPr>
        <w:t>为止。</w:t>
      </w:r>
    </w:p>
    <w:p w14:paraId="756C2882">
      <w:pPr>
        <w:keepNext w:val="0"/>
        <w:keepLines w:val="0"/>
        <w:pageBreakBefore w:val="0"/>
        <w:widowControl/>
        <w:shd w:val="clear" w:color="auto" w:fill="FFFFFF"/>
        <w:kinsoku/>
        <w:wordWrap/>
        <w:overflowPunct/>
        <w:topLinePunct w:val="0"/>
        <w:autoSpaceDN/>
        <w:bidi w:val="0"/>
        <w:adjustRightInd/>
        <w:snapToGrid/>
        <w:spacing w:line="240" w:lineRule="auto"/>
        <w:ind w:firstLine="640" w:firstLineChars="200"/>
        <w:jc w:val="left"/>
        <w:rPr>
          <w:rFonts w:hint="eastAsia" w:ascii="仿宋" w:hAnsi="仿宋" w:eastAsia="仿宋" w:cs="仿宋"/>
          <w:color w:val="auto"/>
          <w:sz w:val="32"/>
          <w:szCs w:val="32"/>
          <w:u w:val="none"/>
          <w:lang w:eastAsia="zh-CN"/>
        </w:rPr>
      </w:pPr>
      <w:r>
        <w:rPr>
          <w:rFonts w:hint="eastAsia" w:ascii="仿宋" w:hAnsi="仿宋" w:eastAsia="仿宋" w:cs="仿宋"/>
          <w:color w:val="auto"/>
          <w:sz w:val="32"/>
          <w:szCs w:val="32"/>
          <w:u w:val="none"/>
          <w:lang w:val="en-US" w:eastAsia="zh-CN"/>
        </w:rPr>
        <w:t>2</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其他社会人员（农民工、下岗失业人员、新型职业农民和企业在岗人员）</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按考生职业</w:t>
      </w:r>
      <w:r>
        <w:rPr>
          <w:rFonts w:hint="eastAsia" w:ascii="仿宋" w:hAnsi="仿宋" w:eastAsia="仿宋" w:cs="仿宋"/>
          <w:color w:val="auto"/>
          <w:sz w:val="32"/>
          <w:szCs w:val="32"/>
          <w:u w:val="none"/>
          <w:lang w:val="en-US" w:eastAsia="zh-CN"/>
        </w:rPr>
        <w:t>技能</w:t>
      </w:r>
      <w:r>
        <w:rPr>
          <w:rFonts w:hint="eastAsia" w:ascii="仿宋" w:hAnsi="仿宋" w:eastAsia="仿宋" w:cs="仿宋"/>
          <w:color w:val="auto"/>
          <w:sz w:val="32"/>
          <w:szCs w:val="32"/>
          <w:u w:val="none"/>
        </w:rPr>
        <w:t>测试</w:t>
      </w:r>
      <w:r>
        <w:rPr>
          <w:rFonts w:hint="eastAsia" w:ascii="仿宋" w:hAnsi="仿宋" w:eastAsia="仿宋" w:cs="仿宋"/>
          <w:color w:val="auto"/>
          <w:sz w:val="32"/>
          <w:szCs w:val="32"/>
          <w:u w:val="none"/>
          <w:lang w:val="en-US" w:eastAsia="zh-CN"/>
        </w:rPr>
        <w:t>综合</w:t>
      </w:r>
      <w:r>
        <w:rPr>
          <w:rFonts w:hint="eastAsia" w:ascii="仿宋" w:hAnsi="仿宋" w:eastAsia="仿宋" w:cs="仿宋"/>
          <w:color w:val="auto"/>
          <w:sz w:val="32"/>
          <w:szCs w:val="32"/>
          <w:u w:val="none"/>
        </w:rPr>
        <w:t>成绩从高分到低分进行录取，录</w:t>
      </w:r>
      <w:r>
        <w:rPr>
          <w:rFonts w:hint="eastAsia" w:ascii="仿宋" w:hAnsi="仿宋" w:eastAsia="仿宋" w:cs="仿宋"/>
          <w:color w:val="auto"/>
          <w:sz w:val="32"/>
          <w:szCs w:val="32"/>
          <w:u w:val="none"/>
          <w:lang w:eastAsia="zh-CN"/>
        </w:rPr>
        <w:t>完</w:t>
      </w:r>
      <w:r>
        <w:rPr>
          <w:rFonts w:hint="eastAsia" w:ascii="仿宋" w:hAnsi="仿宋" w:eastAsia="仿宋" w:cs="仿宋"/>
          <w:color w:val="auto"/>
          <w:sz w:val="32"/>
          <w:szCs w:val="32"/>
          <w:u w:val="none"/>
        </w:rPr>
        <w:t>为止</w:t>
      </w:r>
      <w:r>
        <w:rPr>
          <w:rFonts w:hint="eastAsia" w:ascii="仿宋" w:hAnsi="仿宋" w:eastAsia="仿宋" w:cs="仿宋"/>
          <w:color w:val="auto"/>
          <w:sz w:val="32"/>
          <w:szCs w:val="32"/>
          <w:u w:val="none"/>
          <w:lang w:eastAsia="zh-CN"/>
        </w:rPr>
        <w:t>。</w:t>
      </w:r>
    </w:p>
    <w:p w14:paraId="363C04D5">
      <w:pPr>
        <w:keepNext w:val="0"/>
        <w:keepLines w:val="0"/>
        <w:pageBreakBefore w:val="0"/>
        <w:widowControl/>
        <w:shd w:val="clear" w:color="auto" w:fill="FFFFFF"/>
        <w:kinsoku/>
        <w:wordWrap/>
        <w:overflowPunct/>
        <w:topLinePunct w:val="0"/>
        <w:autoSpaceDN/>
        <w:bidi w:val="0"/>
        <w:adjustRightInd/>
        <w:snapToGrid/>
        <w:spacing w:line="240" w:lineRule="auto"/>
        <w:ind w:firstLine="640" w:firstLineChars="200"/>
        <w:jc w:val="left"/>
        <w:rPr>
          <w:rFonts w:hint="eastAsia" w:ascii="仿宋" w:hAnsi="仿宋" w:eastAsia="仿宋" w:cs="仿宋"/>
          <w:color w:val="auto"/>
          <w:sz w:val="32"/>
          <w:szCs w:val="32"/>
          <w:u w:val="none"/>
          <w:lang w:eastAsia="zh-CN"/>
        </w:rPr>
      </w:pPr>
      <w:r>
        <w:rPr>
          <w:rFonts w:hint="eastAsia" w:ascii="仿宋" w:hAnsi="仿宋" w:eastAsia="仿宋" w:cs="仿宋"/>
          <w:color w:val="auto"/>
          <w:sz w:val="32"/>
          <w:szCs w:val="32"/>
          <w:u w:val="none"/>
          <w:lang w:val="en-US" w:eastAsia="zh-CN"/>
        </w:rPr>
        <w:t>3</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艺术体育</w:t>
      </w:r>
      <w:r>
        <w:rPr>
          <w:rFonts w:hint="eastAsia" w:ascii="仿宋" w:hAnsi="仿宋" w:eastAsia="仿宋" w:cs="仿宋"/>
          <w:color w:val="auto"/>
          <w:sz w:val="32"/>
          <w:szCs w:val="32"/>
          <w:u w:val="none"/>
        </w:rPr>
        <w:t>特长生</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依据考生所填报项目按</w:t>
      </w:r>
      <w:r>
        <w:rPr>
          <w:rFonts w:hint="eastAsia" w:ascii="仿宋" w:hAnsi="仿宋" w:eastAsia="仿宋" w:cs="仿宋"/>
          <w:color w:val="auto"/>
          <w:sz w:val="32"/>
          <w:szCs w:val="32"/>
          <w:u w:val="none"/>
          <w:lang w:val="en-US" w:eastAsia="zh-CN"/>
        </w:rPr>
        <w:t>综合</w:t>
      </w:r>
      <w:r>
        <w:rPr>
          <w:rFonts w:hint="eastAsia" w:ascii="仿宋" w:hAnsi="仿宋" w:eastAsia="仿宋" w:cs="仿宋"/>
          <w:color w:val="auto"/>
          <w:sz w:val="32"/>
          <w:szCs w:val="32"/>
          <w:u w:val="none"/>
        </w:rPr>
        <w:t>成绩从高分到低分进行录取</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具体规则</w:t>
      </w:r>
      <w:r>
        <w:rPr>
          <w:rFonts w:hint="eastAsia" w:ascii="仿宋" w:hAnsi="仿宋" w:eastAsia="仿宋" w:cs="仿宋"/>
          <w:color w:val="auto"/>
          <w:sz w:val="32"/>
          <w:szCs w:val="32"/>
          <w:u w:val="none"/>
          <w:lang w:eastAsia="zh-CN"/>
        </w:rPr>
        <w:t>详见《</w:t>
      </w:r>
      <w:r>
        <w:rPr>
          <w:rFonts w:hint="eastAsia" w:ascii="仿宋" w:hAnsi="仿宋" w:eastAsia="仿宋" w:cs="仿宋"/>
          <w:color w:val="auto"/>
          <w:sz w:val="32"/>
          <w:szCs w:val="32"/>
          <w:u w:val="none"/>
          <w:lang w:val="en-US" w:eastAsia="zh-CN"/>
        </w:rPr>
        <w:t>湘潭医卫职业技术学院</w:t>
      </w:r>
      <w:r>
        <w:rPr>
          <w:rFonts w:hint="eastAsia" w:ascii="仿宋" w:hAnsi="仿宋" w:eastAsia="仿宋" w:cs="仿宋"/>
          <w:color w:val="auto"/>
          <w:sz w:val="32"/>
          <w:szCs w:val="32"/>
          <w:u w:val="none"/>
          <w:lang w:eastAsia="zh-CN"/>
        </w:rPr>
        <w:t>2025年艺术、体育特长生高职单招方案》。</w:t>
      </w:r>
    </w:p>
    <w:p w14:paraId="0335E627">
      <w:pPr>
        <w:keepNext w:val="0"/>
        <w:keepLines w:val="0"/>
        <w:pageBreakBefore w:val="0"/>
        <w:widowControl/>
        <w:shd w:val="clear" w:color="auto" w:fill="FFFFFF"/>
        <w:kinsoku/>
        <w:wordWrap/>
        <w:overflowPunct/>
        <w:topLinePunct w:val="0"/>
        <w:autoSpaceDN/>
        <w:bidi w:val="0"/>
        <w:adjustRightInd/>
        <w:snapToGrid/>
        <w:spacing w:line="240" w:lineRule="auto"/>
        <w:jc w:val="left"/>
        <w:rPr>
          <w:rFonts w:hint="eastAsia" w:ascii="仿宋" w:hAnsi="仿宋" w:eastAsia="仿宋" w:cs="仿宋"/>
          <w:color w:val="auto"/>
          <w:sz w:val="32"/>
          <w:szCs w:val="32"/>
          <w:u w:val="none"/>
        </w:rPr>
      </w:pPr>
      <w:r>
        <w:rPr>
          <w:rFonts w:hint="eastAsia" w:ascii="仿宋" w:hAnsi="仿宋" w:eastAsia="仿宋" w:cs="仿宋"/>
          <w:color w:val="auto"/>
          <w:sz w:val="32"/>
          <w:szCs w:val="32"/>
          <w:u w:val="none"/>
          <w:lang w:val="en-US" w:eastAsia="zh-CN"/>
        </w:rPr>
        <w:t xml:space="preserve">    4.</w:t>
      </w:r>
      <w:r>
        <w:rPr>
          <w:rFonts w:hint="eastAsia" w:ascii="仿宋" w:hAnsi="仿宋" w:eastAsia="仿宋" w:cs="仿宋"/>
          <w:color w:val="auto"/>
          <w:sz w:val="32"/>
          <w:szCs w:val="32"/>
          <w:u w:val="none"/>
        </w:rPr>
        <w:t>普通类考生</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根据各专业分类别招生计划数，依据考生所填报专业按</w:t>
      </w:r>
      <w:r>
        <w:rPr>
          <w:rFonts w:hint="eastAsia" w:ascii="仿宋" w:hAnsi="仿宋" w:eastAsia="仿宋" w:cs="仿宋"/>
          <w:color w:val="auto"/>
          <w:sz w:val="32"/>
          <w:szCs w:val="32"/>
          <w:u w:val="none"/>
          <w:lang w:val="en-US" w:eastAsia="zh-CN"/>
        </w:rPr>
        <w:t>综合成绩</w:t>
      </w:r>
      <w:r>
        <w:rPr>
          <w:rFonts w:hint="eastAsia" w:ascii="仿宋" w:hAnsi="仿宋" w:eastAsia="仿宋" w:cs="仿宋"/>
          <w:color w:val="auto"/>
          <w:sz w:val="32"/>
          <w:szCs w:val="32"/>
          <w:u w:val="none"/>
        </w:rPr>
        <w:t>从高分到低分进行录取，录满为止。如遇生源不足，则对该专业所对应专业组内未录取且服从调剂的考生按</w:t>
      </w:r>
      <w:r>
        <w:rPr>
          <w:rFonts w:hint="eastAsia" w:ascii="仿宋" w:hAnsi="仿宋" w:eastAsia="仿宋" w:cs="仿宋"/>
          <w:color w:val="auto"/>
          <w:sz w:val="32"/>
          <w:szCs w:val="32"/>
          <w:u w:val="none"/>
          <w:lang w:val="en-US" w:eastAsia="zh-CN"/>
        </w:rPr>
        <w:t>综合成绩</w:t>
      </w:r>
      <w:r>
        <w:rPr>
          <w:rFonts w:hint="eastAsia" w:ascii="仿宋" w:hAnsi="仿宋" w:eastAsia="仿宋" w:cs="仿宋"/>
          <w:color w:val="auto"/>
          <w:sz w:val="32"/>
          <w:szCs w:val="32"/>
          <w:u w:val="none"/>
        </w:rPr>
        <w:t>从高分到低分进行调剂录取。</w:t>
      </w:r>
    </w:p>
    <w:p w14:paraId="0B64BD66">
      <w:pPr>
        <w:keepNext w:val="0"/>
        <w:keepLines w:val="0"/>
        <w:pageBreakBefore w:val="0"/>
        <w:widowControl/>
        <w:shd w:val="clear" w:color="auto" w:fill="FFFFFF"/>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第二十九条</w:t>
      </w:r>
      <w:r>
        <w:rPr>
          <w:rFonts w:hint="eastAsia" w:ascii="仿宋" w:hAnsi="仿宋" w:eastAsia="仿宋" w:cs="仿宋"/>
          <w:color w:val="auto"/>
          <w:sz w:val="32"/>
          <w:szCs w:val="32"/>
          <w:u w:val="none"/>
          <w:lang w:val="en-US" w:eastAsia="zh-CN"/>
        </w:rPr>
        <w:t xml:space="preserve"> 对于末位同分的考生，依据以下排序原则进行录取。同分排序规则为：分别按考生文化素质测试、职业技能测试的成绩从高分到低分依次进行排序。</w:t>
      </w:r>
    </w:p>
    <w:p w14:paraId="544F2B73">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643" w:firstLineChars="200"/>
        <w:jc w:val="left"/>
        <w:textAlignment w:val="auto"/>
        <w:rPr>
          <w:rFonts w:hint="eastAsia" w:ascii="等线" w:hAnsi="等线" w:eastAsia="仿宋" w:cs="仿宋"/>
          <w:color w:val="auto"/>
          <w:sz w:val="28"/>
          <w:szCs w:val="28"/>
          <w:u w:val="none"/>
          <w:lang w:val="en-US" w:eastAsia="zh-CN"/>
        </w:rPr>
      </w:pPr>
      <w:r>
        <w:rPr>
          <w:rFonts w:hint="eastAsia" w:ascii="仿宋" w:hAnsi="仿宋" w:eastAsia="仿宋" w:cs="仿宋"/>
          <w:b/>
          <w:bCs/>
          <w:color w:val="auto"/>
          <w:sz w:val="32"/>
          <w:szCs w:val="32"/>
          <w:u w:val="none"/>
          <w:lang w:val="en-US" w:eastAsia="zh-CN"/>
        </w:rPr>
        <w:t xml:space="preserve">第三十条 </w:t>
      </w:r>
      <w:r>
        <w:rPr>
          <w:rFonts w:hint="eastAsia" w:ascii="仿宋" w:hAnsi="仿宋" w:eastAsia="仿宋" w:cs="仿宋"/>
          <w:color w:val="auto"/>
          <w:sz w:val="32"/>
          <w:szCs w:val="32"/>
          <w:u w:val="none"/>
          <w:lang w:val="en-US" w:eastAsia="zh-CN"/>
        </w:rPr>
        <w:t>为保障生源质量，我校提前确定录取合格标准，未合格的不予录取。合格标准是：根据</w:t>
      </w:r>
      <w:r>
        <w:rPr>
          <w:rFonts w:hint="eastAsia" w:ascii="仿宋" w:hAnsi="仿宋" w:eastAsia="仿宋" w:cs="仿宋"/>
          <w:color w:val="auto"/>
          <w:sz w:val="32"/>
          <w:szCs w:val="32"/>
          <w:u w:val="none"/>
        </w:rPr>
        <w:t>考生</w:t>
      </w:r>
      <w:r>
        <w:rPr>
          <w:rFonts w:hint="eastAsia" w:ascii="仿宋" w:hAnsi="仿宋" w:eastAsia="仿宋" w:cs="仿宋"/>
          <w:color w:val="auto"/>
          <w:sz w:val="32"/>
          <w:szCs w:val="32"/>
          <w:u w:val="none"/>
          <w:lang w:val="en-US" w:eastAsia="zh-CN"/>
        </w:rPr>
        <w:t>类别按照综合</w:t>
      </w:r>
      <w:r>
        <w:rPr>
          <w:rFonts w:hint="eastAsia" w:ascii="仿宋" w:hAnsi="仿宋" w:eastAsia="仿宋" w:cs="仿宋"/>
          <w:color w:val="auto"/>
          <w:sz w:val="32"/>
          <w:szCs w:val="32"/>
          <w:u w:val="none"/>
        </w:rPr>
        <w:t>成绩</w:t>
      </w:r>
      <w:r>
        <w:rPr>
          <w:rFonts w:hint="eastAsia" w:ascii="仿宋" w:hAnsi="仿宋" w:eastAsia="仿宋" w:cs="仿宋"/>
          <w:color w:val="auto"/>
          <w:sz w:val="32"/>
          <w:szCs w:val="32"/>
          <w:u w:val="none"/>
          <w:lang w:val="en-US" w:eastAsia="zh-CN"/>
        </w:rPr>
        <w:t>从</w:t>
      </w:r>
      <w:r>
        <w:rPr>
          <w:rFonts w:hint="eastAsia" w:ascii="仿宋" w:hAnsi="仿宋" w:eastAsia="仿宋" w:cs="仿宋"/>
          <w:color w:val="auto"/>
          <w:sz w:val="32"/>
          <w:szCs w:val="32"/>
          <w:u w:val="none"/>
        </w:rPr>
        <w:t>高分到低分进行录取</w:t>
      </w:r>
      <w:r>
        <w:rPr>
          <w:rFonts w:hint="eastAsia" w:ascii="仿宋" w:hAnsi="仿宋" w:eastAsia="仿宋" w:cs="仿宋"/>
          <w:color w:val="auto"/>
          <w:sz w:val="32"/>
          <w:szCs w:val="32"/>
          <w:u w:val="none"/>
          <w:lang w:val="en-US" w:eastAsia="zh-CN"/>
        </w:rPr>
        <w:t>。</w:t>
      </w:r>
    </w:p>
    <w:p w14:paraId="2D56E948">
      <w:pPr>
        <w:keepNext w:val="0"/>
        <w:keepLines w:val="0"/>
        <w:pageBreakBefore w:val="0"/>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 xml:space="preserve">第三十一条  </w:t>
      </w:r>
      <w:r>
        <w:rPr>
          <w:rFonts w:hint="eastAsia" w:ascii="仿宋" w:hAnsi="仿宋" w:eastAsia="仿宋" w:cs="仿宋"/>
          <w:color w:val="auto"/>
          <w:sz w:val="32"/>
          <w:szCs w:val="32"/>
          <w:u w:val="none"/>
          <w:lang w:val="en-US" w:eastAsia="zh-CN"/>
        </w:rPr>
        <w:t>我校将通过官网（www.xtzy.com）发布单招拟录取名单，拟录取考生需在我校规定时间内办理相关录取确认手续。逾期未确认者，视为自动放弃录取处理。</w:t>
      </w:r>
    </w:p>
    <w:p w14:paraId="5C0B2211">
      <w:pPr>
        <w:keepNext w:val="0"/>
        <w:keepLines w:val="0"/>
        <w:pageBreakBefore w:val="0"/>
        <w:widowControl/>
        <w:numPr>
          <w:ilvl w:val="0"/>
          <w:numId w:val="0"/>
        </w:numPr>
        <w:shd w:val="clear" w:color="auto" w:fill="FFFFFF"/>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第三十二条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单招录取的学生不得参加本年度统一高考和普通高校对口招生考试。单招录取的学生不得转学，特殊情况需转专业的，</w:t>
      </w:r>
      <w:r>
        <w:rPr>
          <w:rFonts w:hint="eastAsia" w:ascii="仿宋" w:hAnsi="仿宋" w:eastAsia="仿宋" w:cs="仿宋"/>
          <w:color w:val="auto"/>
          <w:sz w:val="32"/>
          <w:szCs w:val="32"/>
          <w:u w:val="none"/>
          <w:lang w:eastAsia="zh-CN"/>
        </w:rPr>
        <w:t>按</w:t>
      </w:r>
      <w:r>
        <w:rPr>
          <w:rFonts w:hint="eastAsia" w:ascii="仿宋" w:hAnsi="仿宋" w:eastAsia="仿宋" w:cs="仿宋"/>
          <w:color w:val="auto"/>
          <w:sz w:val="32"/>
          <w:szCs w:val="32"/>
          <w:u w:val="none"/>
          <w:lang w:val="en-US" w:eastAsia="zh-CN"/>
        </w:rPr>
        <w:t>有关规定在</w:t>
      </w:r>
      <w:r>
        <w:rPr>
          <w:rFonts w:hint="eastAsia" w:ascii="仿宋" w:hAnsi="仿宋" w:eastAsia="仿宋" w:cs="仿宋"/>
          <w:color w:val="auto"/>
          <w:sz w:val="32"/>
          <w:szCs w:val="32"/>
          <w:u w:val="none"/>
        </w:rPr>
        <w:t>当年单招专业范围内</w:t>
      </w:r>
      <w:r>
        <w:rPr>
          <w:rFonts w:hint="eastAsia" w:ascii="仿宋" w:hAnsi="仿宋" w:eastAsia="仿宋" w:cs="仿宋"/>
          <w:color w:val="auto"/>
          <w:sz w:val="32"/>
          <w:szCs w:val="32"/>
          <w:u w:val="none"/>
          <w:lang w:eastAsia="zh-CN"/>
        </w:rPr>
        <w:t>申请</w:t>
      </w:r>
      <w:r>
        <w:rPr>
          <w:rFonts w:hint="eastAsia" w:ascii="仿宋" w:hAnsi="仿宋" w:eastAsia="仿宋" w:cs="仿宋"/>
          <w:color w:val="auto"/>
          <w:sz w:val="32"/>
          <w:szCs w:val="32"/>
          <w:u w:val="none"/>
        </w:rPr>
        <w:t>。</w:t>
      </w:r>
    </w:p>
    <w:p w14:paraId="601DA56A">
      <w:pPr>
        <w:keepNext w:val="0"/>
        <w:keepLines w:val="0"/>
        <w:pageBreakBefore w:val="0"/>
        <w:widowControl/>
        <w:numPr>
          <w:ilvl w:val="0"/>
          <w:numId w:val="0"/>
        </w:numPr>
        <w:shd w:val="clear" w:color="auto" w:fill="FFFFFF"/>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第三十三条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原则进行管理和培养。</w:t>
      </w:r>
    </w:p>
    <w:p w14:paraId="5440176A">
      <w:pPr>
        <w:keepNext w:val="0"/>
        <w:keepLines w:val="0"/>
        <w:pageBreakBefore w:val="0"/>
        <w:widowControl/>
        <w:numPr>
          <w:ilvl w:val="0"/>
          <w:numId w:val="0"/>
        </w:numPr>
        <w:shd w:val="clear" w:color="auto" w:fill="FFFFFF"/>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 xml:space="preserve">第三十四条  </w:t>
      </w:r>
      <w:r>
        <w:rPr>
          <w:rFonts w:hint="eastAsia" w:ascii="仿宋" w:hAnsi="仿宋" w:eastAsia="仿宋" w:cs="仿宋"/>
          <w:color w:val="auto"/>
          <w:sz w:val="32"/>
          <w:szCs w:val="32"/>
          <w:u w:val="none"/>
          <w:lang w:val="en-US" w:eastAsia="zh-CN"/>
        </w:rPr>
        <w:t>单招第一志愿录取结束后，如有剩余专业计划，我校将向社会公布有缺额的专业及计划数，并</w:t>
      </w:r>
      <w:r>
        <w:rPr>
          <w:rFonts w:hint="eastAsia" w:ascii="仿宋" w:hAnsi="仿宋" w:eastAsia="仿宋" w:cs="仿宋"/>
          <w:color w:val="auto"/>
          <w:sz w:val="32"/>
          <w:szCs w:val="32"/>
          <w:u w:val="none"/>
        </w:rPr>
        <w:t>组织第二志愿报考我校且未被第一志愿录取考生举行考试</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第</w:t>
      </w:r>
      <w:r>
        <w:rPr>
          <w:rFonts w:hint="eastAsia" w:ascii="仿宋" w:hAnsi="仿宋" w:eastAsia="仿宋" w:cs="仿宋"/>
          <w:color w:val="auto"/>
          <w:sz w:val="32"/>
          <w:szCs w:val="32"/>
          <w:u w:val="none"/>
        </w:rPr>
        <w:t>二志愿考试要求及录取</w:t>
      </w:r>
      <w:r>
        <w:rPr>
          <w:rFonts w:hint="eastAsia" w:ascii="仿宋" w:hAnsi="仿宋" w:eastAsia="仿宋" w:cs="仿宋"/>
          <w:color w:val="auto"/>
          <w:sz w:val="32"/>
          <w:szCs w:val="32"/>
          <w:u w:val="none"/>
          <w:lang w:val="en-US" w:eastAsia="zh-CN"/>
        </w:rPr>
        <w:t>规</w:t>
      </w:r>
      <w:r>
        <w:rPr>
          <w:rFonts w:hint="eastAsia" w:ascii="仿宋" w:hAnsi="仿宋" w:eastAsia="仿宋" w:cs="仿宋"/>
          <w:color w:val="auto"/>
          <w:sz w:val="32"/>
          <w:szCs w:val="32"/>
          <w:u w:val="none"/>
        </w:rPr>
        <w:t>则</w:t>
      </w:r>
      <w:r>
        <w:rPr>
          <w:rFonts w:hint="eastAsia" w:ascii="仿宋" w:hAnsi="仿宋" w:eastAsia="仿宋" w:cs="仿宋"/>
          <w:color w:val="auto"/>
          <w:sz w:val="32"/>
          <w:szCs w:val="32"/>
          <w:u w:val="none"/>
          <w:lang w:val="en-US" w:eastAsia="zh-CN"/>
        </w:rPr>
        <w:t>等</w:t>
      </w:r>
      <w:r>
        <w:rPr>
          <w:rFonts w:hint="eastAsia" w:ascii="仿宋" w:hAnsi="仿宋" w:eastAsia="仿宋" w:cs="仿宋"/>
          <w:color w:val="auto"/>
          <w:sz w:val="32"/>
          <w:szCs w:val="32"/>
          <w:u w:val="none"/>
        </w:rPr>
        <w:t>与第一志愿</w:t>
      </w:r>
      <w:r>
        <w:rPr>
          <w:rFonts w:hint="eastAsia" w:ascii="仿宋" w:hAnsi="仿宋" w:eastAsia="仿宋" w:cs="仿宋"/>
          <w:color w:val="auto"/>
          <w:sz w:val="32"/>
          <w:szCs w:val="32"/>
          <w:u w:val="none"/>
          <w:lang w:val="en-US" w:eastAsia="zh-CN"/>
        </w:rPr>
        <w:t>的相关规定</w:t>
      </w:r>
      <w:r>
        <w:rPr>
          <w:rFonts w:hint="eastAsia" w:ascii="仿宋" w:hAnsi="仿宋" w:eastAsia="仿宋" w:cs="仿宋"/>
          <w:color w:val="auto"/>
          <w:sz w:val="32"/>
          <w:szCs w:val="32"/>
          <w:u w:val="none"/>
        </w:rPr>
        <w:t>一致。</w:t>
      </w:r>
    </w:p>
    <w:p w14:paraId="7E71EAF6">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b/>
          <w:bCs/>
          <w:color w:val="auto"/>
          <w:sz w:val="36"/>
          <w:szCs w:val="36"/>
          <w:u w:val="none"/>
          <w:lang w:eastAsia="zh-CN"/>
        </w:rPr>
      </w:pPr>
      <w:r>
        <w:rPr>
          <w:rFonts w:hint="eastAsia" w:ascii="黑体" w:hAnsi="黑体" w:eastAsia="黑体" w:cs="黑体"/>
          <w:b/>
          <w:bCs/>
          <w:color w:val="auto"/>
          <w:sz w:val="36"/>
          <w:szCs w:val="36"/>
          <w:u w:val="none"/>
          <w:lang w:eastAsia="zh-CN"/>
        </w:rPr>
        <w:t>第七章</w:t>
      </w:r>
      <w:r>
        <w:rPr>
          <w:rFonts w:hint="eastAsia" w:ascii="黑体" w:hAnsi="黑体" w:eastAsia="黑体" w:cs="黑体"/>
          <w:b/>
          <w:bCs/>
          <w:color w:val="auto"/>
          <w:sz w:val="36"/>
          <w:szCs w:val="36"/>
          <w:u w:val="none"/>
          <w:lang w:val="en-US" w:eastAsia="zh-CN"/>
        </w:rPr>
        <w:t xml:space="preserve">  </w:t>
      </w:r>
      <w:r>
        <w:rPr>
          <w:rFonts w:hint="eastAsia" w:ascii="黑体" w:hAnsi="黑体" w:eastAsia="黑体" w:cs="黑体"/>
          <w:b/>
          <w:bCs/>
          <w:color w:val="auto"/>
          <w:sz w:val="36"/>
          <w:szCs w:val="36"/>
          <w:u w:val="none"/>
          <w:lang w:eastAsia="zh-CN"/>
        </w:rPr>
        <w:t>监督管理</w:t>
      </w:r>
    </w:p>
    <w:p w14:paraId="5FDBB5FC">
      <w:pPr>
        <w:keepNext w:val="0"/>
        <w:keepLines w:val="0"/>
        <w:pageBreakBefore w:val="0"/>
        <w:numPr>
          <w:ilvl w:val="0"/>
          <w:numId w:val="0"/>
        </w:numPr>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 xml:space="preserve">第三十五条 </w:t>
      </w:r>
      <w:r>
        <w:rPr>
          <w:rFonts w:hint="eastAsia" w:ascii="仿宋" w:hAnsi="仿宋" w:eastAsia="仿宋" w:cs="仿宋"/>
          <w:color w:val="auto"/>
          <w:sz w:val="32"/>
          <w:szCs w:val="32"/>
          <w:u w:val="none"/>
          <w:lang w:val="en-US" w:eastAsia="zh-CN"/>
        </w:rPr>
        <w:t>单招</w:t>
      </w:r>
      <w:r>
        <w:rPr>
          <w:rFonts w:hint="eastAsia" w:ascii="仿宋" w:hAnsi="仿宋" w:eastAsia="仿宋" w:cs="仿宋"/>
          <w:color w:val="auto"/>
          <w:sz w:val="32"/>
          <w:szCs w:val="32"/>
          <w:u w:val="none"/>
        </w:rPr>
        <w:t>考试及录取结束后，学校</w:t>
      </w:r>
      <w:r>
        <w:rPr>
          <w:rFonts w:hint="eastAsia" w:ascii="仿宋" w:hAnsi="仿宋" w:eastAsia="仿宋" w:cs="仿宋"/>
          <w:color w:val="auto"/>
          <w:sz w:val="32"/>
          <w:szCs w:val="32"/>
          <w:u w:val="none"/>
          <w:lang w:val="en-US" w:eastAsia="zh-CN"/>
        </w:rPr>
        <w:t>按照要求及时</w:t>
      </w:r>
      <w:r>
        <w:rPr>
          <w:rFonts w:hint="eastAsia" w:ascii="仿宋" w:hAnsi="仿宋" w:eastAsia="仿宋" w:cs="仿宋"/>
          <w:color w:val="auto"/>
          <w:sz w:val="32"/>
          <w:szCs w:val="32"/>
          <w:u w:val="none"/>
        </w:rPr>
        <w:t>将考试结果及拟录取考生情况在学校官网公示。</w:t>
      </w:r>
    </w:p>
    <w:p w14:paraId="5E2BEB84">
      <w:pPr>
        <w:keepNext w:val="0"/>
        <w:keepLines w:val="0"/>
        <w:pageBreakBefore w:val="0"/>
        <w:numPr>
          <w:ilvl w:val="0"/>
          <w:numId w:val="0"/>
        </w:numPr>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第三十六条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单招期间，确保规范有序、公平公正，</w:t>
      </w:r>
      <w:r>
        <w:rPr>
          <w:rFonts w:hint="eastAsia" w:ascii="仿宋" w:hAnsi="仿宋" w:eastAsia="仿宋" w:cs="仿宋"/>
          <w:color w:val="auto"/>
          <w:sz w:val="32"/>
          <w:szCs w:val="32"/>
          <w:u w:val="none"/>
          <w:lang w:val="en-US" w:eastAsia="zh-CN"/>
        </w:rPr>
        <w:t>在学校纪委全程监督检查下进行</w:t>
      </w:r>
      <w:r>
        <w:rPr>
          <w:rFonts w:hint="eastAsia" w:ascii="仿宋" w:hAnsi="仿宋" w:eastAsia="仿宋" w:cs="仿宋"/>
          <w:color w:val="auto"/>
          <w:sz w:val="32"/>
          <w:szCs w:val="32"/>
          <w:u w:val="none"/>
        </w:rPr>
        <w:t>单招考试、录取</w:t>
      </w:r>
      <w:r>
        <w:rPr>
          <w:rFonts w:hint="eastAsia" w:ascii="仿宋" w:hAnsi="仿宋" w:eastAsia="仿宋" w:cs="仿宋"/>
          <w:color w:val="auto"/>
          <w:sz w:val="32"/>
          <w:szCs w:val="32"/>
          <w:u w:val="none"/>
          <w:lang w:val="en-US" w:eastAsia="zh-CN"/>
        </w:rPr>
        <w:t>等工作。</w:t>
      </w:r>
    </w:p>
    <w:p w14:paraId="7556D03C">
      <w:pPr>
        <w:keepNext w:val="0"/>
        <w:keepLines w:val="0"/>
        <w:pageBreakBefore w:val="0"/>
        <w:numPr>
          <w:ilvl w:val="0"/>
          <w:numId w:val="0"/>
        </w:numPr>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lang w:eastAsia="zh-CN"/>
        </w:rPr>
      </w:pPr>
      <w:r>
        <w:rPr>
          <w:rFonts w:hint="eastAsia" w:ascii="仿宋" w:hAnsi="仿宋" w:eastAsia="仿宋" w:cs="仿宋"/>
          <w:b/>
          <w:bCs/>
          <w:color w:val="auto"/>
          <w:sz w:val="32"/>
          <w:szCs w:val="32"/>
          <w:u w:val="none"/>
          <w:lang w:eastAsia="zh-CN"/>
        </w:rPr>
        <w:t>第三十七条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仿宋" w:hAnsi="仿宋" w:eastAsia="仿宋" w:cs="仿宋"/>
          <w:color w:val="auto"/>
          <w:sz w:val="32"/>
          <w:szCs w:val="32"/>
          <w:u w:val="none"/>
          <w:lang w:val="en-US" w:eastAsia="zh-CN"/>
        </w:rPr>
        <w:t>可向公安机关反映</w:t>
      </w:r>
      <w:r>
        <w:rPr>
          <w:rFonts w:hint="eastAsia" w:ascii="仿宋" w:hAnsi="仿宋" w:eastAsia="仿宋" w:cs="仿宋"/>
          <w:color w:val="auto"/>
          <w:sz w:val="32"/>
          <w:szCs w:val="32"/>
          <w:u w:val="none"/>
        </w:rPr>
        <w:t>。</w:t>
      </w:r>
    </w:p>
    <w:p w14:paraId="289DE1E3">
      <w:pPr>
        <w:keepNext w:val="0"/>
        <w:keepLines w:val="0"/>
        <w:pageBreakBefore w:val="0"/>
        <w:numPr>
          <w:ilvl w:val="0"/>
          <w:numId w:val="0"/>
        </w:numPr>
        <w:kinsoku/>
        <w:wordWrap/>
        <w:overflowPunct/>
        <w:topLinePunct w:val="0"/>
        <w:autoSpaceDN/>
        <w:bidi w:val="0"/>
        <w:adjustRightInd/>
        <w:snapToGrid/>
        <w:spacing w:line="240" w:lineRule="auto"/>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第三十八条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lang w:val="en-US" w:eastAsia="zh-CN"/>
        </w:rPr>
        <w:t>我校将严格执行招生政策和招生纪律，对于</w:t>
      </w:r>
      <w:r>
        <w:rPr>
          <w:rFonts w:hint="eastAsia" w:ascii="仿宋" w:hAnsi="仿宋" w:eastAsia="仿宋" w:cs="仿宋"/>
          <w:color w:val="auto"/>
          <w:sz w:val="32"/>
          <w:szCs w:val="32"/>
          <w:u w:val="none"/>
        </w:rPr>
        <w:t>在</w:t>
      </w:r>
      <w:r>
        <w:rPr>
          <w:rFonts w:hint="eastAsia" w:ascii="仿宋" w:hAnsi="仿宋" w:eastAsia="仿宋" w:cs="仿宋"/>
          <w:color w:val="auto"/>
          <w:sz w:val="32"/>
          <w:szCs w:val="32"/>
          <w:u w:val="none"/>
          <w:lang w:val="en-US" w:eastAsia="zh-CN"/>
        </w:rPr>
        <w:t>单招</w:t>
      </w:r>
      <w:r>
        <w:rPr>
          <w:rFonts w:hint="eastAsia" w:ascii="仿宋" w:hAnsi="仿宋" w:eastAsia="仿宋" w:cs="仿宋"/>
          <w:color w:val="auto"/>
          <w:sz w:val="32"/>
          <w:szCs w:val="32"/>
          <w:u w:val="none"/>
        </w:rPr>
        <w:t>中违规的考生及工作人员，按《国家教育考试违规处理办法》（教育部令33号）和《普通高等学校招生违规行为处理暂行办法》（教育部令36号）所确定的程序和规定</w:t>
      </w:r>
      <w:r>
        <w:rPr>
          <w:rFonts w:hint="eastAsia" w:ascii="仿宋" w:hAnsi="仿宋" w:eastAsia="仿宋" w:cs="仿宋"/>
          <w:color w:val="auto"/>
          <w:sz w:val="32"/>
          <w:szCs w:val="32"/>
          <w:u w:val="none"/>
          <w:lang w:val="en-US" w:eastAsia="zh-CN"/>
        </w:rPr>
        <w:t>进行处理</w:t>
      </w:r>
      <w:r>
        <w:rPr>
          <w:rFonts w:hint="eastAsia" w:ascii="仿宋" w:hAnsi="仿宋" w:eastAsia="仿宋" w:cs="仿宋"/>
          <w:color w:val="auto"/>
          <w:sz w:val="32"/>
          <w:szCs w:val="32"/>
          <w:u w:val="none"/>
        </w:rPr>
        <w:t>。欢迎考生、家长及社会对我校单招工作进行监督，我校的投诉举报电话为</w:t>
      </w:r>
      <w:r>
        <w:rPr>
          <w:rFonts w:hint="eastAsia" w:ascii="仿宋" w:hAnsi="仿宋" w:eastAsia="仿宋" w:cs="仿宋"/>
          <w:color w:val="auto"/>
          <w:sz w:val="32"/>
          <w:szCs w:val="32"/>
          <w:u w:val="none"/>
          <w:lang w:val="en-US" w:eastAsia="zh-CN"/>
        </w:rPr>
        <w:t xml:space="preserve"> 0731-58519005 </w:t>
      </w:r>
      <w:r>
        <w:rPr>
          <w:rFonts w:hint="eastAsia" w:ascii="仿宋" w:hAnsi="仿宋" w:eastAsia="仿宋" w:cs="仿宋"/>
          <w:color w:val="auto"/>
          <w:sz w:val="32"/>
          <w:szCs w:val="32"/>
          <w:u w:val="none"/>
        </w:rPr>
        <w:t>。</w:t>
      </w:r>
    </w:p>
    <w:p w14:paraId="0FA82558">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b/>
          <w:bCs/>
          <w:color w:val="auto"/>
          <w:sz w:val="36"/>
          <w:szCs w:val="36"/>
          <w:u w:val="none"/>
          <w:lang w:eastAsia="zh-CN"/>
        </w:rPr>
      </w:pPr>
      <w:r>
        <w:rPr>
          <w:rFonts w:hint="eastAsia" w:ascii="黑体" w:hAnsi="黑体" w:eastAsia="黑体" w:cs="黑体"/>
          <w:b/>
          <w:bCs/>
          <w:color w:val="auto"/>
          <w:sz w:val="36"/>
          <w:szCs w:val="36"/>
          <w:u w:val="none"/>
          <w:lang w:eastAsia="zh-CN"/>
        </w:rPr>
        <w:t>第八章</w:t>
      </w:r>
      <w:r>
        <w:rPr>
          <w:rFonts w:hint="eastAsia" w:ascii="黑体" w:hAnsi="黑体" w:eastAsia="黑体" w:cs="黑体"/>
          <w:b/>
          <w:bCs/>
          <w:color w:val="auto"/>
          <w:sz w:val="36"/>
          <w:szCs w:val="36"/>
          <w:u w:val="none"/>
          <w:lang w:val="en-US" w:eastAsia="zh-CN"/>
        </w:rPr>
        <w:t xml:space="preserve">  </w:t>
      </w:r>
      <w:r>
        <w:rPr>
          <w:rFonts w:hint="eastAsia" w:ascii="黑体" w:hAnsi="黑体" w:eastAsia="黑体" w:cs="黑体"/>
          <w:b/>
          <w:bCs/>
          <w:color w:val="auto"/>
          <w:sz w:val="36"/>
          <w:szCs w:val="36"/>
          <w:u w:val="none"/>
          <w:lang w:eastAsia="zh-CN"/>
        </w:rPr>
        <w:t>附则</w:t>
      </w:r>
    </w:p>
    <w:p w14:paraId="7D1A8EA5">
      <w:pPr>
        <w:pStyle w:val="2"/>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第三十九条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学校对新生入学设有“绿色通道”。家庭经济特别困难的新生，可持乡（镇）以上人民政府证明向学校学生工作处申请办理学费缓交手续，并可根据国家有关规定申请国家助学贷款。</w:t>
      </w:r>
    </w:p>
    <w:p w14:paraId="472601E0">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第四十条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录取考生的体检标准按照教育部、卫生部、中国残疾人联合会颁布的《普通高等学校招生体检工作指导意见》及有关补充规定执行。</w:t>
      </w:r>
    </w:p>
    <w:p w14:paraId="0FCF82B6">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3" w:firstLineChars="200"/>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lang w:eastAsia="zh-CN"/>
        </w:rPr>
        <w:t>第四十一条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录取考生的思想政治品德考核和身体健康状况检查均采用考生报考普通高校招生考试或对口招生考试时所采集的信息，学生对提供的信息真实性负责。</w:t>
      </w:r>
    </w:p>
    <w:p w14:paraId="1B87C1CF">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第四十二条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3206B059">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第四十三条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本章程通过湖南省教育考试院和学院官网向社会发布，对于各种媒体节选公布的章程内容，如理解有误，以学校公布的完整单独招生章程为准。</w:t>
      </w:r>
    </w:p>
    <w:p w14:paraId="4DBA7B75">
      <w:pPr>
        <w:pStyle w:val="2"/>
        <w:keepNext w:val="0"/>
        <w:keepLines w:val="0"/>
        <w:pageBreakBefore w:val="0"/>
        <w:numPr>
          <w:ilvl w:val="0"/>
          <w:numId w:val="0"/>
        </w:numPr>
        <w:kinsoku/>
        <w:wordWrap/>
        <w:overflowPunct/>
        <w:topLinePunct w:val="0"/>
        <w:autoSpaceDN/>
        <w:bidi w:val="0"/>
        <w:adjustRightInd/>
        <w:snapToGrid/>
        <w:spacing w:line="240" w:lineRule="auto"/>
        <w:ind w:firstLine="643" w:firstLineChars="200"/>
        <w:rPr>
          <w:rFonts w:hint="eastAsia" w:ascii="仿宋" w:hAnsi="仿宋" w:eastAsia="仿宋" w:cs="仿宋"/>
          <w:color w:val="auto"/>
          <w:kern w:val="2"/>
          <w:sz w:val="32"/>
          <w:szCs w:val="32"/>
          <w:u w:val="none"/>
          <w:lang w:val="en-US" w:eastAsia="zh-CN"/>
        </w:rPr>
      </w:pPr>
      <w:r>
        <w:rPr>
          <w:rFonts w:hint="eastAsia" w:ascii="仿宋" w:hAnsi="仿宋" w:eastAsia="仿宋" w:cs="仿宋"/>
          <w:b/>
          <w:bCs/>
          <w:color w:val="auto"/>
          <w:sz w:val="32"/>
          <w:szCs w:val="32"/>
          <w:u w:val="none"/>
          <w:lang w:eastAsia="zh-CN"/>
        </w:rPr>
        <w:t>第四十四条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kern w:val="2"/>
          <w:sz w:val="32"/>
          <w:szCs w:val="32"/>
          <w:u w:val="none"/>
          <w:lang w:val="en-US" w:eastAsia="zh-CN" w:bidi="ar-SA"/>
        </w:rPr>
        <w:t>学校招生联系方式 通信地址：湖南省湘潭市岳塘区双拥中路湘潭医卫职业技术学院招生就业指导处；邮政编码：411100 ；招生咨询电话：0731-58519123、58519121；招生咨询邮箱：595632170@qq.com；招生信息发布网址：www.xtzy.com；监督投诉电话：0731-58519005。</w:t>
      </w:r>
    </w:p>
    <w:p w14:paraId="7D59F0BF">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3" w:firstLineChars="200"/>
        <w:rPr>
          <w:rFonts w:hint="eastAsia" w:ascii="仿宋" w:hAnsi="仿宋" w:eastAsia="仿宋" w:cs="仿宋"/>
          <w:color w:val="auto"/>
          <w:sz w:val="32"/>
          <w:szCs w:val="32"/>
          <w:u w:val="none"/>
          <w:shd w:val="clear" w:color="auto" w:fill="FFFFFF"/>
          <w:lang w:eastAsia="zh-CN"/>
        </w:rPr>
      </w:pPr>
      <w:r>
        <w:rPr>
          <w:rFonts w:hint="eastAsia" w:ascii="仿宋" w:hAnsi="仿宋" w:eastAsia="仿宋" w:cs="仿宋"/>
          <w:b/>
          <w:bCs/>
          <w:color w:val="auto"/>
          <w:kern w:val="2"/>
          <w:sz w:val="32"/>
          <w:szCs w:val="32"/>
          <w:u w:val="none"/>
          <w:lang w:eastAsia="zh-CN"/>
        </w:rPr>
        <w:t>第四十五条</w:t>
      </w:r>
      <w:r>
        <w:rPr>
          <w:rFonts w:hint="eastAsia" w:ascii="仿宋" w:hAnsi="仿宋" w:eastAsia="仿宋" w:cs="仿宋"/>
          <w:b/>
          <w:bCs/>
          <w:color w:val="auto"/>
          <w:kern w:val="2"/>
          <w:sz w:val="32"/>
          <w:szCs w:val="32"/>
          <w:u w:val="none"/>
          <w:lang w:val="en-US" w:eastAsia="zh-CN"/>
        </w:rPr>
        <w:t xml:space="preserve"> </w:t>
      </w:r>
      <w:r>
        <w:rPr>
          <w:rFonts w:hint="eastAsia" w:ascii="仿宋" w:hAnsi="仿宋" w:eastAsia="仿宋" w:cs="仿宋"/>
          <w:color w:val="auto"/>
          <w:kern w:val="2"/>
          <w:sz w:val="32"/>
          <w:szCs w:val="32"/>
          <w:u w:val="none"/>
        </w:rPr>
        <w:t>本</w:t>
      </w:r>
      <w:r>
        <w:rPr>
          <w:rFonts w:hint="eastAsia" w:ascii="仿宋" w:hAnsi="仿宋" w:eastAsia="仿宋" w:cs="仿宋"/>
          <w:color w:val="auto"/>
          <w:kern w:val="2"/>
          <w:sz w:val="32"/>
          <w:szCs w:val="32"/>
          <w:u w:val="none"/>
          <w:lang w:val="en-US" w:eastAsia="zh-CN"/>
        </w:rPr>
        <w:t>章程</w:t>
      </w:r>
      <w:r>
        <w:rPr>
          <w:rFonts w:hint="eastAsia" w:ascii="仿宋" w:hAnsi="仿宋" w:eastAsia="仿宋" w:cs="仿宋"/>
          <w:color w:val="auto"/>
          <w:kern w:val="2"/>
          <w:sz w:val="32"/>
          <w:szCs w:val="32"/>
          <w:u w:val="none"/>
        </w:rPr>
        <w:t>适用于</w:t>
      </w:r>
      <w:r>
        <w:rPr>
          <w:rFonts w:hint="eastAsia" w:ascii="仿宋" w:hAnsi="仿宋" w:eastAsia="仿宋" w:cs="仿宋"/>
          <w:color w:val="auto"/>
          <w:kern w:val="2"/>
          <w:sz w:val="32"/>
          <w:szCs w:val="32"/>
          <w:u w:val="none"/>
          <w:lang w:val="en-US" w:eastAsia="zh-CN"/>
        </w:rPr>
        <w:t>我校</w:t>
      </w:r>
      <w:r>
        <w:rPr>
          <w:rFonts w:hint="eastAsia" w:ascii="仿宋" w:hAnsi="仿宋" w:eastAsia="仿宋" w:cs="仿宋"/>
          <w:color w:val="auto"/>
          <w:kern w:val="2"/>
          <w:sz w:val="32"/>
          <w:szCs w:val="32"/>
          <w:u w:val="none"/>
          <w:lang w:eastAsia="zh-CN"/>
        </w:rPr>
        <w:t>2025</w:t>
      </w:r>
      <w:r>
        <w:rPr>
          <w:rFonts w:hint="eastAsia" w:ascii="仿宋" w:hAnsi="仿宋" w:eastAsia="仿宋" w:cs="仿宋"/>
          <w:color w:val="auto"/>
          <w:kern w:val="2"/>
          <w:sz w:val="32"/>
          <w:szCs w:val="32"/>
          <w:u w:val="none"/>
        </w:rPr>
        <w:t>年</w:t>
      </w:r>
      <w:r>
        <w:rPr>
          <w:rFonts w:hint="eastAsia" w:ascii="仿宋" w:hAnsi="仿宋" w:eastAsia="仿宋" w:cs="仿宋"/>
          <w:color w:val="auto"/>
          <w:kern w:val="2"/>
          <w:sz w:val="32"/>
          <w:szCs w:val="32"/>
          <w:u w:val="none"/>
          <w:lang w:val="en-US" w:eastAsia="zh-CN"/>
        </w:rPr>
        <w:t>湖南省</w:t>
      </w:r>
      <w:r>
        <w:rPr>
          <w:rFonts w:hint="eastAsia" w:ascii="仿宋" w:hAnsi="仿宋" w:eastAsia="仿宋" w:cs="仿宋"/>
          <w:color w:val="auto"/>
          <w:kern w:val="2"/>
          <w:sz w:val="32"/>
          <w:szCs w:val="32"/>
          <w:u w:val="none"/>
        </w:rPr>
        <w:t>单</w:t>
      </w:r>
      <w:r>
        <w:rPr>
          <w:rFonts w:hint="eastAsia" w:ascii="仿宋" w:hAnsi="仿宋" w:eastAsia="仿宋" w:cs="仿宋"/>
          <w:color w:val="auto"/>
          <w:kern w:val="2"/>
          <w:sz w:val="32"/>
          <w:szCs w:val="32"/>
          <w:u w:val="none"/>
          <w:lang w:val="en-US" w:eastAsia="zh-CN"/>
        </w:rPr>
        <w:t>招。</w:t>
      </w:r>
      <w:r>
        <w:rPr>
          <w:rFonts w:hint="eastAsia" w:ascii="仿宋" w:hAnsi="仿宋" w:eastAsia="仿宋" w:cs="仿宋"/>
          <w:color w:val="auto"/>
          <w:sz w:val="32"/>
          <w:szCs w:val="32"/>
          <w:u w:val="none"/>
          <w:lang w:val="en-US" w:eastAsia="zh-CN"/>
        </w:rPr>
        <w:t>其</w:t>
      </w:r>
      <w:r>
        <w:rPr>
          <w:rFonts w:hint="eastAsia" w:ascii="仿宋" w:hAnsi="仿宋" w:eastAsia="仿宋" w:cs="仿宋"/>
          <w:color w:val="auto"/>
          <w:sz w:val="32"/>
          <w:szCs w:val="32"/>
          <w:u w:val="none"/>
        </w:rPr>
        <w:t>解释权属于</w:t>
      </w:r>
      <w:r>
        <w:rPr>
          <w:rFonts w:hint="eastAsia" w:ascii="仿宋" w:hAnsi="仿宋" w:eastAsia="仿宋" w:cs="仿宋"/>
          <w:color w:val="auto"/>
          <w:sz w:val="32"/>
          <w:szCs w:val="32"/>
          <w:u w:val="none"/>
          <w:lang w:val="en-US" w:eastAsia="zh-CN"/>
        </w:rPr>
        <w:t>湘潭医卫职业技术学院</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shd w:val="clear" w:color="auto" w:fill="FFFFFF"/>
        </w:rPr>
        <w:t>如遇教育部、湖南省教育厅相关招生政策调整，以公布的最新政策为准</w:t>
      </w:r>
      <w:r>
        <w:rPr>
          <w:rFonts w:hint="eastAsia" w:ascii="仿宋" w:hAnsi="仿宋" w:eastAsia="仿宋" w:cs="仿宋"/>
          <w:color w:val="auto"/>
          <w:sz w:val="32"/>
          <w:szCs w:val="32"/>
          <w:u w:val="none"/>
          <w:shd w:val="clear" w:color="auto" w:fill="FFFFFF"/>
          <w:lang w:eastAsia="zh-CN"/>
        </w:rPr>
        <w:t>。</w:t>
      </w:r>
      <w:bookmarkStart w:id="0" w:name="_GoBack"/>
      <w:bookmarkEnd w:id="0"/>
    </w:p>
    <w:p w14:paraId="2DA36619">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p w14:paraId="069F45EC">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p w14:paraId="2F8C2780">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p w14:paraId="2A539DFE">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p w14:paraId="2775D564">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p w14:paraId="2F2E5A18">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p w14:paraId="2ADD8D14">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p w14:paraId="41EBD96B">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p w14:paraId="0421F3E6">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p w14:paraId="3D0ED427">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p w14:paraId="1AAE8D92">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p w14:paraId="1D312923">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华文中宋" w:hAnsi="华文中宋" w:eastAsia="华文中宋" w:cs="华文中宋"/>
          <w:b/>
          <w:bCs/>
          <w:color w:val="auto"/>
          <w:sz w:val="44"/>
          <w:szCs w:val="44"/>
          <w:u w:val="none"/>
          <w:lang w:val="en-US" w:eastAsia="zh-CN"/>
        </w:rPr>
      </w:pPr>
    </w:p>
    <w:p w14:paraId="2D1B0257">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华文中宋" w:hAnsi="华文中宋" w:eastAsia="华文中宋" w:cs="华文中宋"/>
          <w:b/>
          <w:bCs/>
          <w:color w:val="auto"/>
          <w:sz w:val="44"/>
          <w:szCs w:val="44"/>
          <w:u w:val="none"/>
          <w:lang w:val="en-US" w:eastAsia="zh-CN"/>
        </w:rPr>
      </w:pPr>
    </w:p>
    <w:p w14:paraId="78B648F8">
      <w:pPr>
        <w:keepNext w:val="0"/>
        <w:keepLines w:val="0"/>
        <w:pageBreakBefore w:val="0"/>
        <w:numPr>
          <w:ilvl w:val="0"/>
          <w:numId w:val="0"/>
        </w:numPr>
        <w:shd w:val="clear" w:color="auto" w:fill="FFFFFF"/>
        <w:kinsoku/>
        <w:wordWrap/>
        <w:overflowPunct/>
        <w:topLinePunct w:val="0"/>
        <w:autoSpaceDN/>
        <w:bidi w:val="0"/>
        <w:adjustRightInd/>
        <w:snapToGrid/>
        <w:spacing w:line="240" w:lineRule="auto"/>
        <w:ind w:firstLine="640" w:firstLineChars="200"/>
        <w:rPr>
          <w:rFonts w:hint="eastAsia" w:ascii="仿宋" w:hAnsi="仿宋" w:eastAsia="仿宋" w:cs="仿宋"/>
          <w:color w:val="auto"/>
          <w:sz w:val="32"/>
          <w:szCs w:val="32"/>
          <w:u w:val="none"/>
          <w:shd w:val="clear" w:color="auto" w:fill="FFFFFF"/>
          <w:lang w:eastAsia="zh-CN"/>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A60F879-5911-469A-8476-F511823BBF1C}"/>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embedRegular r:id="rId2" w:fontKey="{06727EEF-EF93-4FD2-83D0-B85D34340950}"/>
  </w:font>
  <w:font w:name="仿宋">
    <w:panose1 w:val="02010609060101010101"/>
    <w:charset w:val="86"/>
    <w:family w:val="modern"/>
    <w:pitch w:val="default"/>
    <w:sig w:usb0="800002BF" w:usb1="38CF7CFA" w:usb2="00000016" w:usb3="00000000" w:csb0="00040001" w:csb1="00000000"/>
    <w:embedRegular r:id="rId3" w:fontKey="{CCC8D4CA-9280-4890-AB62-3BD030805A98}"/>
  </w:font>
  <w:font w:name="等线">
    <w:panose1 w:val="02010600030101010101"/>
    <w:charset w:val="86"/>
    <w:family w:val="auto"/>
    <w:pitch w:val="default"/>
    <w:sig w:usb0="A00002BF" w:usb1="38CF7CFA" w:usb2="00000016" w:usb3="00000000" w:csb0="0004000F" w:csb1="00000000"/>
    <w:embedRegular r:id="rId4" w:fontKey="{C7699512-55D0-4F6F-8FA7-19971CB347BC}"/>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09C9C">
    <w:pPr>
      <w:pStyle w:val="8"/>
      <w:jc w:val="center"/>
    </w:pPr>
    <w:r>
      <w:fldChar w:fldCharType="begin"/>
    </w:r>
    <w:r>
      <w:instrText xml:space="preserve">PAGE   \* MERGEFORMAT</w:instrText>
    </w:r>
    <w:r>
      <w:fldChar w:fldCharType="separate"/>
    </w:r>
    <w:r>
      <w:t>14</w:t>
    </w:r>
    <w:r>
      <w:fldChar w:fldCharType="end"/>
    </w:r>
  </w:p>
  <w:p w14:paraId="74DAF07A">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E8ABE8">
    <w:pPr>
      <w:pStyle w:val="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U1NTU5OGYyZTFmYWI0OGRiNDUzMjI1YzA4MTAyMmI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0750"/>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6E54D2"/>
    <w:rsid w:val="01972007"/>
    <w:rsid w:val="01EF572E"/>
    <w:rsid w:val="023F6BF7"/>
    <w:rsid w:val="02AA213A"/>
    <w:rsid w:val="02FA4F0B"/>
    <w:rsid w:val="03231B33"/>
    <w:rsid w:val="038E0721"/>
    <w:rsid w:val="04003C23"/>
    <w:rsid w:val="04294F27"/>
    <w:rsid w:val="044A30F0"/>
    <w:rsid w:val="046D71A3"/>
    <w:rsid w:val="04B36EE7"/>
    <w:rsid w:val="04C2712A"/>
    <w:rsid w:val="04D74983"/>
    <w:rsid w:val="04DF1F2B"/>
    <w:rsid w:val="04ED2D68"/>
    <w:rsid w:val="051A6F66"/>
    <w:rsid w:val="05254A5F"/>
    <w:rsid w:val="05355B4E"/>
    <w:rsid w:val="059C75DF"/>
    <w:rsid w:val="059D6B84"/>
    <w:rsid w:val="05AC5C0F"/>
    <w:rsid w:val="06043E9E"/>
    <w:rsid w:val="069761AE"/>
    <w:rsid w:val="06A55C71"/>
    <w:rsid w:val="06F53E3D"/>
    <w:rsid w:val="075926EA"/>
    <w:rsid w:val="07987FF3"/>
    <w:rsid w:val="079D1FBD"/>
    <w:rsid w:val="07D94EB6"/>
    <w:rsid w:val="07DB005B"/>
    <w:rsid w:val="07DC2099"/>
    <w:rsid w:val="07FC04D8"/>
    <w:rsid w:val="08273E74"/>
    <w:rsid w:val="087C7B4E"/>
    <w:rsid w:val="08E66B26"/>
    <w:rsid w:val="09156B82"/>
    <w:rsid w:val="097F1859"/>
    <w:rsid w:val="09D41DD9"/>
    <w:rsid w:val="0A5F5078"/>
    <w:rsid w:val="0A951569"/>
    <w:rsid w:val="0AAF0151"/>
    <w:rsid w:val="0ADC163F"/>
    <w:rsid w:val="0B2B471F"/>
    <w:rsid w:val="0B7F7B23"/>
    <w:rsid w:val="0B8C708E"/>
    <w:rsid w:val="0BA871E7"/>
    <w:rsid w:val="0BB7681F"/>
    <w:rsid w:val="0C004B2C"/>
    <w:rsid w:val="0C2267DE"/>
    <w:rsid w:val="0C525237"/>
    <w:rsid w:val="0C662A91"/>
    <w:rsid w:val="0CA17CE3"/>
    <w:rsid w:val="0CAF0888"/>
    <w:rsid w:val="0D3A01A5"/>
    <w:rsid w:val="0D511BCD"/>
    <w:rsid w:val="0D9A2F32"/>
    <w:rsid w:val="0DB066B9"/>
    <w:rsid w:val="0E3E3CC5"/>
    <w:rsid w:val="0F0E57E7"/>
    <w:rsid w:val="0F713C26"/>
    <w:rsid w:val="0FA364D6"/>
    <w:rsid w:val="0FCE2E27"/>
    <w:rsid w:val="0FFA0E2A"/>
    <w:rsid w:val="106F63B8"/>
    <w:rsid w:val="107F26DA"/>
    <w:rsid w:val="10DB6D7F"/>
    <w:rsid w:val="10FF4AC6"/>
    <w:rsid w:val="11292A0B"/>
    <w:rsid w:val="11B318DC"/>
    <w:rsid w:val="11B545A0"/>
    <w:rsid w:val="122136E2"/>
    <w:rsid w:val="126B2BAF"/>
    <w:rsid w:val="127D7BFC"/>
    <w:rsid w:val="12996038"/>
    <w:rsid w:val="12A06CFD"/>
    <w:rsid w:val="12CD5AA9"/>
    <w:rsid w:val="12E110C3"/>
    <w:rsid w:val="12FB03D7"/>
    <w:rsid w:val="12FD57C9"/>
    <w:rsid w:val="130628D8"/>
    <w:rsid w:val="13511DA5"/>
    <w:rsid w:val="1381162F"/>
    <w:rsid w:val="13A50343"/>
    <w:rsid w:val="13CE6FBC"/>
    <w:rsid w:val="13FA41EA"/>
    <w:rsid w:val="13FB7F63"/>
    <w:rsid w:val="14377C0F"/>
    <w:rsid w:val="14575E03"/>
    <w:rsid w:val="14647470"/>
    <w:rsid w:val="149C34F4"/>
    <w:rsid w:val="14D666DB"/>
    <w:rsid w:val="14EF4045"/>
    <w:rsid w:val="14FE5F5C"/>
    <w:rsid w:val="150D43F1"/>
    <w:rsid w:val="15132AEA"/>
    <w:rsid w:val="152F25BA"/>
    <w:rsid w:val="15323EC6"/>
    <w:rsid w:val="155B515D"/>
    <w:rsid w:val="155C01CF"/>
    <w:rsid w:val="158741A4"/>
    <w:rsid w:val="15CD306E"/>
    <w:rsid w:val="16003D72"/>
    <w:rsid w:val="160C46A9"/>
    <w:rsid w:val="164E081E"/>
    <w:rsid w:val="16B15CE2"/>
    <w:rsid w:val="16C20D9A"/>
    <w:rsid w:val="16D263AA"/>
    <w:rsid w:val="17306C2D"/>
    <w:rsid w:val="173D6E12"/>
    <w:rsid w:val="17A032FB"/>
    <w:rsid w:val="17C36FE9"/>
    <w:rsid w:val="17D66D1D"/>
    <w:rsid w:val="1817007E"/>
    <w:rsid w:val="18267AB6"/>
    <w:rsid w:val="18B2778A"/>
    <w:rsid w:val="18EC6FFA"/>
    <w:rsid w:val="19277699"/>
    <w:rsid w:val="19B7492C"/>
    <w:rsid w:val="19CE57F5"/>
    <w:rsid w:val="19D46B8F"/>
    <w:rsid w:val="19DE5CD3"/>
    <w:rsid w:val="19E54942"/>
    <w:rsid w:val="19E92EA6"/>
    <w:rsid w:val="1A004525"/>
    <w:rsid w:val="1A1C3315"/>
    <w:rsid w:val="1A2F0A01"/>
    <w:rsid w:val="1A4D657E"/>
    <w:rsid w:val="1A9B23C1"/>
    <w:rsid w:val="1B5543FC"/>
    <w:rsid w:val="1B5F527B"/>
    <w:rsid w:val="1B6C2FEB"/>
    <w:rsid w:val="1B7A3E63"/>
    <w:rsid w:val="1BB11F7A"/>
    <w:rsid w:val="1BF77544"/>
    <w:rsid w:val="1C334DB0"/>
    <w:rsid w:val="1C4B7CFE"/>
    <w:rsid w:val="1C8342E7"/>
    <w:rsid w:val="1CD87093"/>
    <w:rsid w:val="1CE7377A"/>
    <w:rsid w:val="1D892944"/>
    <w:rsid w:val="1D8C29A2"/>
    <w:rsid w:val="1DA11ABB"/>
    <w:rsid w:val="1DAD2A8C"/>
    <w:rsid w:val="1E575166"/>
    <w:rsid w:val="1E6F7E6E"/>
    <w:rsid w:val="1E9C236D"/>
    <w:rsid w:val="1F16734A"/>
    <w:rsid w:val="1F8E612F"/>
    <w:rsid w:val="1FA12F8C"/>
    <w:rsid w:val="1FC63B1B"/>
    <w:rsid w:val="1FFE758D"/>
    <w:rsid w:val="200F7270"/>
    <w:rsid w:val="202E0E7A"/>
    <w:rsid w:val="207B4905"/>
    <w:rsid w:val="20A0611A"/>
    <w:rsid w:val="20FF72E4"/>
    <w:rsid w:val="214178FD"/>
    <w:rsid w:val="214B42D7"/>
    <w:rsid w:val="22673393"/>
    <w:rsid w:val="22A87507"/>
    <w:rsid w:val="22D93B65"/>
    <w:rsid w:val="233660B1"/>
    <w:rsid w:val="23416A94"/>
    <w:rsid w:val="234D4DF5"/>
    <w:rsid w:val="234F597E"/>
    <w:rsid w:val="236B0C61"/>
    <w:rsid w:val="237815D0"/>
    <w:rsid w:val="23B95264"/>
    <w:rsid w:val="23BC5A3E"/>
    <w:rsid w:val="23D1216B"/>
    <w:rsid w:val="23F52C20"/>
    <w:rsid w:val="23FC5CD6"/>
    <w:rsid w:val="242A1D2A"/>
    <w:rsid w:val="24376272"/>
    <w:rsid w:val="244823F9"/>
    <w:rsid w:val="245E2369"/>
    <w:rsid w:val="2471674B"/>
    <w:rsid w:val="247B668C"/>
    <w:rsid w:val="25245D32"/>
    <w:rsid w:val="25787421"/>
    <w:rsid w:val="25920CD2"/>
    <w:rsid w:val="25D52D09"/>
    <w:rsid w:val="25ED6EF5"/>
    <w:rsid w:val="261C6242"/>
    <w:rsid w:val="26A1499A"/>
    <w:rsid w:val="26AB5FE8"/>
    <w:rsid w:val="26BB58EA"/>
    <w:rsid w:val="26C00296"/>
    <w:rsid w:val="26D63198"/>
    <w:rsid w:val="26F17200"/>
    <w:rsid w:val="274979CF"/>
    <w:rsid w:val="275210BB"/>
    <w:rsid w:val="279F35CF"/>
    <w:rsid w:val="27AF13DE"/>
    <w:rsid w:val="2802590C"/>
    <w:rsid w:val="286D4306"/>
    <w:rsid w:val="28A644E9"/>
    <w:rsid w:val="28C52BC1"/>
    <w:rsid w:val="28D01566"/>
    <w:rsid w:val="29DD040A"/>
    <w:rsid w:val="2A0406E2"/>
    <w:rsid w:val="2A0656A8"/>
    <w:rsid w:val="2A2F3CB2"/>
    <w:rsid w:val="2A32577F"/>
    <w:rsid w:val="2AAE2211"/>
    <w:rsid w:val="2ABE71EB"/>
    <w:rsid w:val="2C0833AD"/>
    <w:rsid w:val="2C8478F1"/>
    <w:rsid w:val="2CCE2260"/>
    <w:rsid w:val="2CD07D87"/>
    <w:rsid w:val="2CFB6EDA"/>
    <w:rsid w:val="2D012636"/>
    <w:rsid w:val="2D0F6B01"/>
    <w:rsid w:val="2D3E73E6"/>
    <w:rsid w:val="2D3F6922"/>
    <w:rsid w:val="2D4114FA"/>
    <w:rsid w:val="2DE27D71"/>
    <w:rsid w:val="2E425882"/>
    <w:rsid w:val="2E6E3CFB"/>
    <w:rsid w:val="2E6E7857"/>
    <w:rsid w:val="2E7A26A0"/>
    <w:rsid w:val="2F171C9D"/>
    <w:rsid w:val="2FAD513C"/>
    <w:rsid w:val="2FC11C09"/>
    <w:rsid w:val="2FC9123E"/>
    <w:rsid w:val="3024522F"/>
    <w:rsid w:val="30405760"/>
    <w:rsid w:val="305D1EAE"/>
    <w:rsid w:val="309914C3"/>
    <w:rsid w:val="30A27C8C"/>
    <w:rsid w:val="311A5A74"/>
    <w:rsid w:val="313703D4"/>
    <w:rsid w:val="313D086B"/>
    <w:rsid w:val="31464ABB"/>
    <w:rsid w:val="317653A0"/>
    <w:rsid w:val="318F2491"/>
    <w:rsid w:val="31983647"/>
    <w:rsid w:val="31C51E84"/>
    <w:rsid w:val="31DD71CE"/>
    <w:rsid w:val="32132BEF"/>
    <w:rsid w:val="32204C1B"/>
    <w:rsid w:val="328D1382"/>
    <w:rsid w:val="33122352"/>
    <w:rsid w:val="33597626"/>
    <w:rsid w:val="337E361F"/>
    <w:rsid w:val="339E7C5E"/>
    <w:rsid w:val="33AB6E58"/>
    <w:rsid w:val="33BF0E66"/>
    <w:rsid w:val="33BF47D9"/>
    <w:rsid w:val="33ED199E"/>
    <w:rsid w:val="342B1D46"/>
    <w:rsid w:val="344828F8"/>
    <w:rsid w:val="344F51A3"/>
    <w:rsid w:val="346516FC"/>
    <w:rsid w:val="346C7B0F"/>
    <w:rsid w:val="34764968"/>
    <w:rsid w:val="34CA155F"/>
    <w:rsid w:val="3538471B"/>
    <w:rsid w:val="35777939"/>
    <w:rsid w:val="3578720D"/>
    <w:rsid w:val="358B3826"/>
    <w:rsid w:val="35EA4102"/>
    <w:rsid w:val="35F12D83"/>
    <w:rsid w:val="36140CE4"/>
    <w:rsid w:val="365C0825"/>
    <w:rsid w:val="37031F9E"/>
    <w:rsid w:val="37AC319E"/>
    <w:rsid w:val="37BFA028"/>
    <w:rsid w:val="37CD1DE7"/>
    <w:rsid w:val="37CE22F9"/>
    <w:rsid w:val="37DE3C9F"/>
    <w:rsid w:val="37F0752F"/>
    <w:rsid w:val="38061D68"/>
    <w:rsid w:val="380A6843"/>
    <w:rsid w:val="38186329"/>
    <w:rsid w:val="38803464"/>
    <w:rsid w:val="38B55CC7"/>
    <w:rsid w:val="38BC0DEE"/>
    <w:rsid w:val="38E03E10"/>
    <w:rsid w:val="391060DB"/>
    <w:rsid w:val="395E52C3"/>
    <w:rsid w:val="39756A74"/>
    <w:rsid w:val="39C20F5B"/>
    <w:rsid w:val="39D07618"/>
    <w:rsid w:val="39EE291F"/>
    <w:rsid w:val="3A241712"/>
    <w:rsid w:val="3A52002D"/>
    <w:rsid w:val="3A695746"/>
    <w:rsid w:val="3AEA4709"/>
    <w:rsid w:val="3AEB1C60"/>
    <w:rsid w:val="3B0A6B5A"/>
    <w:rsid w:val="3B6A683B"/>
    <w:rsid w:val="3B847DCB"/>
    <w:rsid w:val="3B892174"/>
    <w:rsid w:val="3BBA232E"/>
    <w:rsid w:val="3C6109FB"/>
    <w:rsid w:val="3C924985"/>
    <w:rsid w:val="3CA73615"/>
    <w:rsid w:val="3CE9358A"/>
    <w:rsid w:val="3D3A1978"/>
    <w:rsid w:val="3DBD6105"/>
    <w:rsid w:val="3DE23DBE"/>
    <w:rsid w:val="3E0633EE"/>
    <w:rsid w:val="3E222F7F"/>
    <w:rsid w:val="3E263CAA"/>
    <w:rsid w:val="3E305F64"/>
    <w:rsid w:val="3E6F38A3"/>
    <w:rsid w:val="3E7F2B45"/>
    <w:rsid w:val="3EAB2402"/>
    <w:rsid w:val="3EEF0AB8"/>
    <w:rsid w:val="3F1A6BAD"/>
    <w:rsid w:val="3F8A64BB"/>
    <w:rsid w:val="3FD15E98"/>
    <w:rsid w:val="3FDA284A"/>
    <w:rsid w:val="3FE536F1"/>
    <w:rsid w:val="400E0E9A"/>
    <w:rsid w:val="404023C4"/>
    <w:rsid w:val="404B48EE"/>
    <w:rsid w:val="40581F6E"/>
    <w:rsid w:val="407A208B"/>
    <w:rsid w:val="40B90F2A"/>
    <w:rsid w:val="40E572B5"/>
    <w:rsid w:val="40E879E7"/>
    <w:rsid w:val="40F3694D"/>
    <w:rsid w:val="41005B39"/>
    <w:rsid w:val="410C1185"/>
    <w:rsid w:val="4136748E"/>
    <w:rsid w:val="417B430D"/>
    <w:rsid w:val="419D3DBE"/>
    <w:rsid w:val="41AA0C03"/>
    <w:rsid w:val="41C95E4D"/>
    <w:rsid w:val="41E9396D"/>
    <w:rsid w:val="41FD12CC"/>
    <w:rsid w:val="4221213F"/>
    <w:rsid w:val="427F40C9"/>
    <w:rsid w:val="429960CF"/>
    <w:rsid w:val="42CA6358"/>
    <w:rsid w:val="42D9011C"/>
    <w:rsid w:val="42E12896"/>
    <w:rsid w:val="42F02ADA"/>
    <w:rsid w:val="4303280C"/>
    <w:rsid w:val="43233126"/>
    <w:rsid w:val="43277BDB"/>
    <w:rsid w:val="434F5A51"/>
    <w:rsid w:val="43EC1015"/>
    <w:rsid w:val="43ED5170"/>
    <w:rsid w:val="44D426B2"/>
    <w:rsid w:val="45186B8F"/>
    <w:rsid w:val="451D704F"/>
    <w:rsid w:val="456F5EF7"/>
    <w:rsid w:val="457E7FAC"/>
    <w:rsid w:val="45B222C8"/>
    <w:rsid w:val="45B47174"/>
    <w:rsid w:val="45D10756"/>
    <w:rsid w:val="45D71D2E"/>
    <w:rsid w:val="4605689B"/>
    <w:rsid w:val="464C4D5B"/>
    <w:rsid w:val="46701BD3"/>
    <w:rsid w:val="46756CDE"/>
    <w:rsid w:val="46A460B4"/>
    <w:rsid w:val="46B04A59"/>
    <w:rsid w:val="46BA646D"/>
    <w:rsid w:val="46D63D94"/>
    <w:rsid w:val="46FC24A1"/>
    <w:rsid w:val="470D1149"/>
    <w:rsid w:val="4732546E"/>
    <w:rsid w:val="47503B46"/>
    <w:rsid w:val="47D613CB"/>
    <w:rsid w:val="47EC01A1"/>
    <w:rsid w:val="480C5CBF"/>
    <w:rsid w:val="482C1355"/>
    <w:rsid w:val="483E7E42"/>
    <w:rsid w:val="485831BD"/>
    <w:rsid w:val="48CB3DCC"/>
    <w:rsid w:val="490E5A67"/>
    <w:rsid w:val="492900B7"/>
    <w:rsid w:val="494C2D19"/>
    <w:rsid w:val="495112C6"/>
    <w:rsid w:val="496112DB"/>
    <w:rsid w:val="496B4C67"/>
    <w:rsid w:val="497A134E"/>
    <w:rsid w:val="49D56585"/>
    <w:rsid w:val="49EA3855"/>
    <w:rsid w:val="49F42EAF"/>
    <w:rsid w:val="4A2475A4"/>
    <w:rsid w:val="4AC35133"/>
    <w:rsid w:val="4AD56ED5"/>
    <w:rsid w:val="4B1D445B"/>
    <w:rsid w:val="4B5B204B"/>
    <w:rsid w:val="4B77BA42"/>
    <w:rsid w:val="4B837B0C"/>
    <w:rsid w:val="4B850531"/>
    <w:rsid w:val="4B8A3E6C"/>
    <w:rsid w:val="4BA32DDE"/>
    <w:rsid w:val="4BB4664D"/>
    <w:rsid w:val="4BF33BED"/>
    <w:rsid w:val="4C1930A0"/>
    <w:rsid w:val="4C7F0DE7"/>
    <w:rsid w:val="4C9D15DC"/>
    <w:rsid w:val="4D0B73BB"/>
    <w:rsid w:val="4D1659FB"/>
    <w:rsid w:val="4D5072E9"/>
    <w:rsid w:val="4D69668F"/>
    <w:rsid w:val="4D9322BB"/>
    <w:rsid w:val="4DA22C22"/>
    <w:rsid w:val="4DCF13B8"/>
    <w:rsid w:val="4DF9660B"/>
    <w:rsid w:val="4E125FF9"/>
    <w:rsid w:val="4E2841F9"/>
    <w:rsid w:val="4E431055"/>
    <w:rsid w:val="4E81291C"/>
    <w:rsid w:val="4E8651D3"/>
    <w:rsid w:val="4E9502E8"/>
    <w:rsid w:val="4EFC71F8"/>
    <w:rsid w:val="4F2621FE"/>
    <w:rsid w:val="4F277882"/>
    <w:rsid w:val="4F3E33A7"/>
    <w:rsid w:val="4F8C636A"/>
    <w:rsid w:val="4F8D77AB"/>
    <w:rsid w:val="4F912E3D"/>
    <w:rsid w:val="4FA17635"/>
    <w:rsid w:val="5010686C"/>
    <w:rsid w:val="5012408F"/>
    <w:rsid w:val="507A753A"/>
    <w:rsid w:val="50C41F9B"/>
    <w:rsid w:val="51055BA4"/>
    <w:rsid w:val="514279CB"/>
    <w:rsid w:val="5164091A"/>
    <w:rsid w:val="51992547"/>
    <w:rsid w:val="51996F17"/>
    <w:rsid w:val="51AC22C1"/>
    <w:rsid w:val="523C74A6"/>
    <w:rsid w:val="527B3CD5"/>
    <w:rsid w:val="52BB345C"/>
    <w:rsid w:val="52DE294E"/>
    <w:rsid w:val="530F0D59"/>
    <w:rsid w:val="53A70F92"/>
    <w:rsid w:val="53C30205"/>
    <w:rsid w:val="53D0673A"/>
    <w:rsid w:val="540567C7"/>
    <w:rsid w:val="54380789"/>
    <w:rsid w:val="544F44F7"/>
    <w:rsid w:val="5472094E"/>
    <w:rsid w:val="548E4565"/>
    <w:rsid w:val="54AA73DF"/>
    <w:rsid w:val="54D1276A"/>
    <w:rsid w:val="54F76490"/>
    <w:rsid w:val="550A41C8"/>
    <w:rsid w:val="55144405"/>
    <w:rsid w:val="55312A98"/>
    <w:rsid w:val="55474042"/>
    <w:rsid w:val="554967A4"/>
    <w:rsid w:val="556E215B"/>
    <w:rsid w:val="561808EF"/>
    <w:rsid w:val="56CE6835"/>
    <w:rsid w:val="56DC53F6"/>
    <w:rsid w:val="56EB028B"/>
    <w:rsid w:val="57081D47"/>
    <w:rsid w:val="571A66C4"/>
    <w:rsid w:val="57BF2D4E"/>
    <w:rsid w:val="57DC0D06"/>
    <w:rsid w:val="57DD31D4"/>
    <w:rsid w:val="58220680"/>
    <w:rsid w:val="58481E52"/>
    <w:rsid w:val="58A35269"/>
    <w:rsid w:val="58C8276C"/>
    <w:rsid w:val="58DF57F5"/>
    <w:rsid w:val="591F781C"/>
    <w:rsid w:val="59323EA7"/>
    <w:rsid w:val="59350351"/>
    <w:rsid w:val="5949535F"/>
    <w:rsid w:val="597F35F6"/>
    <w:rsid w:val="598F04FE"/>
    <w:rsid w:val="599651FE"/>
    <w:rsid w:val="59965427"/>
    <w:rsid w:val="59B2243E"/>
    <w:rsid w:val="59DB7BE7"/>
    <w:rsid w:val="59EA6CBD"/>
    <w:rsid w:val="59FE5684"/>
    <w:rsid w:val="5A1117CC"/>
    <w:rsid w:val="5ABE313D"/>
    <w:rsid w:val="5B127639"/>
    <w:rsid w:val="5B6D486F"/>
    <w:rsid w:val="5B8FCF33"/>
    <w:rsid w:val="5BD161ED"/>
    <w:rsid w:val="5CB5471F"/>
    <w:rsid w:val="5CBC5AAE"/>
    <w:rsid w:val="5CE82B4D"/>
    <w:rsid w:val="5CFF3BED"/>
    <w:rsid w:val="5D0B35B7"/>
    <w:rsid w:val="5D2801DB"/>
    <w:rsid w:val="5D4C7FE2"/>
    <w:rsid w:val="5DA46FBF"/>
    <w:rsid w:val="5DB42C29"/>
    <w:rsid w:val="5DD50E01"/>
    <w:rsid w:val="5E050125"/>
    <w:rsid w:val="5E1E79DD"/>
    <w:rsid w:val="5E547F68"/>
    <w:rsid w:val="5F804F7C"/>
    <w:rsid w:val="5F812FDF"/>
    <w:rsid w:val="5F84507B"/>
    <w:rsid w:val="5F920595"/>
    <w:rsid w:val="5FA66C4C"/>
    <w:rsid w:val="5FBF32AD"/>
    <w:rsid w:val="5FEB7598"/>
    <w:rsid w:val="5FF53085"/>
    <w:rsid w:val="600C1085"/>
    <w:rsid w:val="604E4E9A"/>
    <w:rsid w:val="605F4325"/>
    <w:rsid w:val="607B251F"/>
    <w:rsid w:val="60964868"/>
    <w:rsid w:val="60F4742F"/>
    <w:rsid w:val="611539DF"/>
    <w:rsid w:val="6126799A"/>
    <w:rsid w:val="61572249"/>
    <w:rsid w:val="61A35225"/>
    <w:rsid w:val="61A86601"/>
    <w:rsid w:val="61B228BF"/>
    <w:rsid w:val="61F71336"/>
    <w:rsid w:val="621912AD"/>
    <w:rsid w:val="626055AF"/>
    <w:rsid w:val="62804CAC"/>
    <w:rsid w:val="629C67BC"/>
    <w:rsid w:val="62B45479"/>
    <w:rsid w:val="62E670F3"/>
    <w:rsid w:val="630C6032"/>
    <w:rsid w:val="633D546F"/>
    <w:rsid w:val="63C35974"/>
    <w:rsid w:val="644F0FB6"/>
    <w:rsid w:val="64B33C3A"/>
    <w:rsid w:val="652F1BCA"/>
    <w:rsid w:val="65426D6C"/>
    <w:rsid w:val="656B46CF"/>
    <w:rsid w:val="65F9596D"/>
    <w:rsid w:val="66387CAD"/>
    <w:rsid w:val="664D7F9B"/>
    <w:rsid w:val="66A3028A"/>
    <w:rsid w:val="66A650D9"/>
    <w:rsid w:val="66B75538"/>
    <w:rsid w:val="671B1581"/>
    <w:rsid w:val="672A3F5C"/>
    <w:rsid w:val="67B6134C"/>
    <w:rsid w:val="67D6379C"/>
    <w:rsid w:val="67DF478F"/>
    <w:rsid w:val="67E11BC9"/>
    <w:rsid w:val="67ED7463"/>
    <w:rsid w:val="684E2814"/>
    <w:rsid w:val="68505B4D"/>
    <w:rsid w:val="6860371C"/>
    <w:rsid w:val="68AE03DB"/>
    <w:rsid w:val="68C816E7"/>
    <w:rsid w:val="690600B1"/>
    <w:rsid w:val="6950078F"/>
    <w:rsid w:val="69B61AD7"/>
    <w:rsid w:val="69F148BD"/>
    <w:rsid w:val="6A0B1B52"/>
    <w:rsid w:val="6A3A1F43"/>
    <w:rsid w:val="6AE97FDA"/>
    <w:rsid w:val="6B863A1B"/>
    <w:rsid w:val="6B865BA9"/>
    <w:rsid w:val="6B9615A3"/>
    <w:rsid w:val="6BAC3191"/>
    <w:rsid w:val="6BC648A8"/>
    <w:rsid w:val="6BF3491C"/>
    <w:rsid w:val="6C117498"/>
    <w:rsid w:val="6C18145C"/>
    <w:rsid w:val="6C953C26"/>
    <w:rsid w:val="6CFF42F7"/>
    <w:rsid w:val="6D0468F2"/>
    <w:rsid w:val="6D2A0812"/>
    <w:rsid w:val="6D3925E5"/>
    <w:rsid w:val="6D401DE3"/>
    <w:rsid w:val="6D4620B8"/>
    <w:rsid w:val="6D464F20"/>
    <w:rsid w:val="6D5451DC"/>
    <w:rsid w:val="6D5D5B5A"/>
    <w:rsid w:val="6D6A6E60"/>
    <w:rsid w:val="6D6F3412"/>
    <w:rsid w:val="6D9E6B0A"/>
    <w:rsid w:val="6DA83E0C"/>
    <w:rsid w:val="6DB61B32"/>
    <w:rsid w:val="6DCE3893"/>
    <w:rsid w:val="6DD66374"/>
    <w:rsid w:val="6DE92C47"/>
    <w:rsid w:val="6E9D3190"/>
    <w:rsid w:val="6EA10FD4"/>
    <w:rsid w:val="6EE65FD0"/>
    <w:rsid w:val="6EEF5FBA"/>
    <w:rsid w:val="6F1F3C7A"/>
    <w:rsid w:val="6F71DAA7"/>
    <w:rsid w:val="6F9314E5"/>
    <w:rsid w:val="6F9927A9"/>
    <w:rsid w:val="6FD63E81"/>
    <w:rsid w:val="6FEB37AA"/>
    <w:rsid w:val="6FFF35DB"/>
    <w:rsid w:val="703903A6"/>
    <w:rsid w:val="704B11CB"/>
    <w:rsid w:val="705D2CAC"/>
    <w:rsid w:val="706D4D57"/>
    <w:rsid w:val="70981B5C"/>
    <w:rsid w:val="70D56CE6"/>
    <w:rsid w:val="71232996"/>
    <w:rsid w:val="712B6906"/>
    <w:rsid w:val="71454595"/>
    <w:rsid w:val="715F4802"/>
    <w:rsid w:val="718030F6"/>
    <w:rsid w:val="71956476"/>
    <w:rsid w:val="71E552A0"/>
    <w:rsid w:val="71F1013E"/>
    <w:rsid w:val="721E46BD"/>
    <w:rsid w:val="723E08BB"/>
    <w:rsid w:val="724265FE"/>
    <w:rsid w:val="72A471DF"/>
    <w:rsid w:val="72F07C93"/>
    <w:rsid w:val="731D7F10"/>
    <w:rsid w:val="733A482F"/>
    <w:rsid w:val="73522870"/>
    <w:rsid w:val="737F09F7"/>
    <w:rsid w:val="73BC1D93"/>
    <w:rsid w:val="741462D2"/>
    <w:rsid w:val="741E1EA8"/>
    <w:rsid w:val="743E4BA3"/>
    <w:rsid w:val="746242BC"/>
    <w:rsid w:val="74624D35"/>
    <w:rsid w:val="74D001FC"/>
    <w:rsid w:val="74E67981"/>
    <w:rsid w:val="756A1E27"/>
    <w:rsid w:val="75DB056E"/>
    <w:rsid w:val="75FB64DD"/>
    <w:rsid w:val="76300070"/>
    <w:rsid w:val="768B56A2"/>
    <w:rsid w:val="769136B0"/>
    <w:rsid w:val="76950A02"/>
    <w:rsid w:val="770025E3"/>
    <w:rsid w:val="77271704"/>
    <w:rsid w:val="774249AA"/>
    <w:rsid w:val="777BE1E5"/>
    <w:rsid w:val="777F4E56"/>
    <w:rsid w:val="777FFB5A"/>
    <w:rsid w:val="77BE5C84"/>
    <w:rsid w:val="77C01083"/>
    <w:rsid w:val="77F2017E"/>
    <w:rsid w:val="77F9BDFE"/>
    <w:rsid w:val="780659D7"/>
    <w:rsid w:val="784529A4"/>
    <w:rsid w:val="789A7408"/>
    <w:rsid w:val="78BB2691"/>
    <w:rsid w:val="78DD4B16"/>
    <w:rsid w:val="79256331"/>
    <w:rsid w:val="794111F1"/>
    <w:rsid w:val="795D6D6C"/>
    <w:rsid w:val="79B6B7CA"/>
    <w:rsid w:val="79DC614A"/>
    <w:rsid w:val="79FF8825"/>
    <w:rsid w:val="7A3F3BED"/>
    <w:rsid w:val="7A7AC12C"/>
    <w:rsid w:val="7AC47217"/>
    <w:rsid w:val="7AD2618C"/>
    <w:rsid w:val="7AE149BD"/>
    <w:rsid w:val="7AE262DC"/>
    <w:rsid w:val="7B160627"/>
    <w:rsid w:val="7B590D1C"/>
    <w:rsid w:val="7B647A4D"/>
    <w:rsid w:val="7B6A2721"/>
    <w:rsid w:val="7BDFE1A2"/>
    <w:rsid w:val="7C2B0102"/>
    <w:rsid w:val="7C7E1CA6"/>
    <w:rsid w:val="7CA659DB"/>
    <w:rsid w:val="7CEA3B1A"/>
    <w:rsid w:val="7CFE890A"/>
    <w:rsid w:val="7D172435"/>
    <w:rsid w:val="7D276B1C"/>
    <w:rsid w:val="7D4D5E56"/>
    <w:rsid w:val="7D5947FB"/>
    <w:rsid w:val="7D7FC70A"/>
    <w:rsid w:val="7D935155"/>
    <w:rsid w:val="7D9854CF"/>
    <w:rsid w:val="7DC97BD3"/>
    <w:rsid w:val="7E5C285E"/>
    <w:rsid w:val="7EBF5433"/>
    <w:rsid w:val="7EDEFF37"/>
    <w:rsid w:val="7EF75346"/>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caption"/>
    <w:basedOn w:val="1"/>
    <w:next w:val="1"/>
    <w:unhideWhenUsed/>
    <w:qFormat/>
    <w:uiPriority w:val="0"/>
    <w:rPr>
      <w:rFonts w:ascii="Calibri Light" w:hAnsi="Calibri Light" w:eastAsia="黑体" w:cs="宋体"/>
      <w:sz w:val="20"/>
      <w:szCs w:val="20"/>
    </w:rPr>
  </w:style>
  <w:style w:type="paragraph" w:styleId="4">
    <w:name w:val="annotation text"/>
    <w:basedOn w:val="1"/>
    <w:link w:val="18"/>
    <w:autoRedefine/>
    <w:qFormat/>
    <w:uiPriority w:val="0"/>
    <w:pPr>
      <w:jc w:val="left"/>
    </w:pPr>
    <w:rPr>
      <w:rFonts w:ascii="Calibri" w:hAnsi="Calibri"/>
      <w:lang w:val="zh-CN"/>
    </w:rPr>
  </w:style>
  <w:style w:type="paragraph" w:styleId="5">
    <w:name w:val="Body Text"/>
    <w:basedOn w:val="1"/>
    <w:autoRedefine/>
    <w:qFormat/>
    <w:uiPriority w:val="1"/>
    <w:pPr>
      <w:spacing w:before="5"/>
      <w:ind w:left="138"/>
    </w:pPr>
    <w:rPr>
      <w:rFonts w:ascii="宋体" w:hAnsi="宋体" w:cs="宋体"/>
      <w:sz w:val="32"/>
      <w:szCs w:val="32"/>
      <w:lang w:val="zh-CN" w:bidi="zh-CN"/>
    </w:rPr>
  </w:style>
  <w:style w:type="paragraph" w:styleId="6">
    <w:name w:val="Body Text Indent"/>
    <w:basedOn w:val="1"/>
    <w:link w:val="19"/>
    <w:autoRedefine/>
    <w:qFormat/>
    <w:uiPriority w:val="0"/>
    <w:pPr>
      <w:tabs>
        <w:tab w:val="left" w:pos="360"/>
      </w:tabs>
      <w:ind w:left="180" w:firstLine="600"/>
    </w:pPr>
    <w:rPr>
      <w:rFonts w:ascii="宋体" w:hAnsi="宋体"/>
      <w:sz w:val="30"/>
      <w:szCs w:val="30"/>
      <w:lang w:val="zh-CN"/>
    </w:rPr>
  </w:style>
  <w:style w:type="paragraph" w:styleId="7">
    <w:name w:val="Balloon Text"/>
    <w:basedOn w:val="1"/>
    <w:link w:val="20"/>
    <w:autoRedefine/>
    <w:qFormat/>
    <w:uiPriority w:val="0"/>
    <w:rPr>
      <w:sz w:val="18"/>
      <w:szCs w:val="18"/>
      <w:lang w:val="zh-CN"/>
    </w:rPr>
  </w:style>
  <w:style w:type="paragraph" w:styleId="8">
    <w:name w:val="footer"/>
    <w:basedOn w:val="1"/>
    <w:link w:val="21"/>
    <w:autoRedefine/>
    <w:qFormat/>
    <w:uiPriority w:val="99"/>
    <w:pPr>
      <w:tabs>
        <w:tab w:val="center" w:pos="4153"/>
        <w:tab w:val="right" w:pos="8306"/>
      </w:tabs>
      <w:snapToGrid w:val="0"/>
      <w:jc w:val="left"/>
    </w:pPr>
    <w:rPr>
      <w:sz w:val="18"/>
      <w:szCs w:val="18"/>
      <w:lang w:val="zh-CN"/>
    </w:rPr>
  </w:style>
  <w:style w:type="paragraph" w:styleId="9">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1">
    <w:name w:val="annotation subject"/>
    <w:basedOn w:val="4"/>
    <w:next w:val="4"/>
    <w:link w:val="22"/>
    <w:autoRedefine/>
    <w:qFormat/>
    <w:uiPriority w:val="0"/>
    <w:rPr>
      <w:b/>
      <w:bCs/>
    </w:r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autoRedefine/>
    <w:qFormat/>
    <w:uiPriority w:val="0"/>
    <w:rPr>
      <w:b/>
    </w:rPr>
  </w:style>
  <w:style w:type="character" w:styleId="16">
    <w:name w:val="Hyperlink"/>
    <w:basedOn w:val="14"/>
    <w:autoRedefine/>
    <w:qFormat/>
    <w:uiPriority w:val="0"/>
    <w:rPr>
      <w:color w:val="0000FF"/>
      <w:u w:val="single"/>
    </w:rPr>
  </w:style>
  <w:style w:type="character" w:styleId="17">
    <w:name w:val="annotation reference"/>
    <w:autoRedefine/>
    <w:qFormat/>
    <w:uiPriority w:val="0"/>
    <w:rPr>
      <w:sz w:val="21"/>
      <w:szCs w:val="21"/>
    </w:rPr>
  </w:style>
  <w:style w:type="character" w:customStyle="1" w:styleId="18">
    <w:name w:val="批注文字 Char"/>
    <w:link w:val="4"/>
    <w:autoRedefine/>
    <w:qFormat/>
    <w:uiPriority w:val="0"/>
    <w:rPr>
      <w:rFonts w:ascii="Calibri" w:hAnsi="Calibri"/>
      <w:kern w:val="2"/>
      <w:sz w:val="21"/>
      <w:szCs w:val="24"/>
    </w:rPr>
  </w:style>
  <w:style w:type="character" w:customStyle="1" w:styleId="19">
    <w:name w:val="正文文本缩进 Char"/>
    <w:link w:val="6"/>
    <w:autoRedefine/>
    <w:qFormat/>
    <w:uiPriority w:val="0"/>
    <w:rPr>
      <w:rFonts w:ascii="宋体" w:hAnsi="宋体"/>
      <w:kern w:val="2"/>
      <w:sz w:val="30"/>
      <w:szCs w:val="30"/>
    </w:rPr>
  </w:style>
  <w:style w:type="character" w:customStyle="1" w:styleId="20">
    <w:name w:val="批注框文本 Char"/>
    <w:link w:val="7"/>
    <w:autoRedefine/>
    <w:qFormat/>
    <w:uiPriority w:val="0"/>
    <w:rPr>
      <w:kern w:val="2"/>
      <w:sz w:val="18"/>
      <w:szCs w:val="18"/>
    </w:rPr>
  </w:style>
  <w:style w:type="character" w:customStyle="1" w:styleId="21">
    <w:name w:val="页脚 Char"/>
    <w:link w:val="8"/>
    <w:autoRedefine/>
    <w:qFormat/>
    <w:uiPriority w:val="99"/>
    <w:rPr>
      <w:kern w:val="2"/>
      <w:sz w:val="18"/>
      <w:szCs w:val="18"/>
    </w:rPr>
  </w:style>
  <w:style w:type="character" w:customStyle="1" w:styleId="22">
    <w:name w:val="批注主题 Char"/>
    <w:link w:val="11"/>
    <w:autoRedefine/>
    <w:qFormat/>
    <w:uiPriority w:val="0"/>
    <w:rPr>
      <w:rFonts w:ascii="Calibri" w:hAnsi="Calibri"/>
      <w:b/>
      <w:bCs/>
      <w:kern w:val="2"/>
      <w:sz w:val="21"/>
      <w:szCs w:val="24"/>
    </w:rPr>
  </w:style>
  <w:style w:type="paragraph" w:customStyle="1" w:styleId="23">
    <w:name w:val="Char Char Char Char"/>
    <w:basedOn w:val="1"/>
    <w:autoRedefine/>
    <w:qFormat/>
    <w:uiPriority w:val="0"/>
    <w:pPr>
      <w:widowControl/>
      <w:spacing w:after="160" w:line="240" w:lineRule="exact"/>
      <w:jc w:val="left"/>
    </w:pPr>
  </w:style>
  <w:style w:type="paragraph" w:styleId="24">
    <w:name w:val="List Paragraph"/>
    <w:basedOn w:val="1"/>
    <w:autoRedefine/>
    <w:qFormat/>
    <w:uiPriority w:val="99"/>
    <w:pPr>
      <w:ind w:left="138" w:right="436" w:firstLine="638"/>
    </w:pPr>
    <w:rPr>
      <w:rFonts w:ascii="宋体" w:hAnsi="宋体" w:cs="宋体"/>
      <w:lang w:val="zh-CN" w:bidi="zh-CN"/>
    </w:rPr>
  </w:style>
  <w:style w:type="paragraph" w:customStyle="1" w:styleId="25">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16</Pages>
  <Words>7018</Words>
  <Characters>7518</Characters>
  <Lines>5</Lines>
  <Paragraphs>16</Paragraphs>
  <TotalTime>0</TotalTime>
  <ScaleCrop>false</ScaleCrop>
  <LinksUpToDate>false</LinksUpToDate>
  <CharactersWithSpaces>7627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郭书文</cp:lastModifiedBy>
  <cp:lastPrinted>2022-01-20T04:04:00Z</cp:lastPrinted>
  <dcterms:modified xsi:type="dcterms:W3CDTF">2025-01-26T19:25:32Z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0AB37C0E421C4457BD65BAD4FB07F99E_13</vt:lpwstr>
  </property>
  <property fmtid="{D5CDD505-2E9C-101B-9397-08002B2CF9AE}" pid="4" name="KSOTemplateDocerSaveRecord">
    <vt:lpwstr>eyJoZGlkIjoiMzEwNTM5NzYwMDRjMzkwZTVkZjY2ODkwMGIxNGU0OTUiLCJ1c2VySWQiOiIyMTIyNzk2NDgifQ==</vt:lpwstr>
  </property>
</Properties>
</file>