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5F2EEE43">
      <w:pPr>
        <w:pStyle w:val="style0"/>
        <w:widowControl/>
        <w:kinsoku w:val="false"/>
        <w:autoSpaceDE w:val="false"/>
        <w:autoSpaceDN w:val="false"/>
        <w:adjustRightInd w:val="false"/>
        <w:snapToGrid w:val="false"/>
        <w:spacing w:before="283" w:lineRule="auto" w:line="218"/>
        <w:jc w:val="center"/>
        <w:textAlignment w:val="baseline"/>
        <w:outlineLvl w:val="0"/>
        <w:rPr>
          <w:rFonts w:ascii="宋体" w:cs="宋体" w:eastAsia="宋体" w:hAnsi="宋体" w:hint="eastAsia"/>
          <w:snapToGrid w:val="false"/>
          <w:color w:val="000000"/>
          <w:spacing w:val="7"/>
          <w:kern w:val="0"/>
          <w:sz w:val="35"/>
          <w:szCs w:val="35"/>
          <w:highlight w:val="none"/>
          <w:lang w:eastAsia="en-US"/>
          <w14:textOutline w14:w="6537" w14:cmpd="sng" w14:cap="sq">
            <w14:solidFill>
              <w14:srgbClr w14:val="000000"/>
            </w14:solidFill>
            <w14:prstDash w14:val="solid"/>
            <w14:bevel/>
          </w14:textOutline>
        </w:rPr>
      </w:pPr>
      <w:r>
        <w:rPr>
          <w:rFonts w:ascii="宋体" w:cs="宋体" w:eastAsia="宋体" w:hAnsi="宋体" w:hint="eastAsia"/>
          <w:snapToGrid w:val="false"/>
          <w:color w:val="000000"/>
          <w:spacing w:val="7"/>
          <w:kern w:val="0"/>
          <w:sz w:val="35"/>
          <w:szCs w:val="35"/>
          <w:highlight w:val="none"/>
          <w:lang w:eastAsia="en-US"/>
          <w14:textOutline w14:w="6537" w14:cmpd="sng" w14:cap="sq">
            <w14:solidFill>
              <w14:srgbClr w14:val="000000"/>
            </w14:solidFill>
            <w14:prstDash w14:val="solid"/>
            <w14:bevel/>
          </w14:textOutline>
        </w:rPr>
        <w:t>邵阳职业技术学院202</w:t>
      </w:r>
      <w:r>
        <w:rPr>
          <w:rFonts w:ascii="宋体" w:cs="宋体" w:eastAsia="宋体" w:hAnsi="宋体" w:hint="eastAsia"/>
          <w:snapToGrid w:val="false"/>
          <w:color w:val="000000"/>
          <w:spacing w:val="7"/>
          <w:kern w:val="0"/>
          <w:sz w:val="35"/>
          <w:szCs w:val="35"/>
          <w:highlight w:val="none"/>
          <w:lang w:val="en-US" w:eastAsia="zh-CN"/>
          <w14:textOutline w14:w="6537" w14:cmpd="sng" w14:cap="sq">
            <w14:solidFill>
              <w14:srgbClr w14:val="000000"/>
            </w14:solidFill>
            <w14:prstDash w14:val="solid"/>
            <w14:bevel/>
          </w14:textOutline>
        </w:rPr>
        <w:t>5</w:t>
      </w:r>
      <w:r>
        <w:rPr>
          <w:rFonts w:ascii="宋体" w:cs="宋体" w:eastAsia="宋体" w:hAnsi="宋体" w:hint="eastAsia"/>
          <w:snapToGrid w:val="false"/>
          <w:color w:val="000000"/>
          <w:spacing w:val="7"/>
          <w:kern w:val="0"/>
          <w:sz w:val="35"/>
          <w:szCs w:val="35"/>
          <w:highlight w:val="none"/>
          <w:lang w:eastAsia="en-US"/>
          <w14:textOutline w14:w="6537" w14:cmpd="sng" w14:cap="sq">
            <w14:solidFill>
              <w14:srgbClr w14:val="000000"/>
            </w14:solidFill>
            <w14:prstDash w14:val="solid"/>
            <w14:bevel/>
          </w14:textOutline>
        </w:rPr>
        <w:t>年高职单招章程</w:t>
      </w:r>
    </w:p>
    <w:p w14:paraId="11585B0F">
      <w:pPr>
        <w:pStyle w:val="style66"/>
        <w:widowControl/>
        <w:kinsoku w:val="false"/>
        <w:autoSpaceDE w:val="false"/>
        <w:autoSpaceDN w:val="false"/>
        <w:adjustRightInd w:val="false"/>
        <w:snapToGrid w:val="false"/>
        <w:spacing w:before="101" w:lineRule="auto" w:line="228"/>
        <w:jc w:val="center"/>
        <w:textAlignment w:val="baseline"/>
        <w:rPr>
          <w:rFonts w:hint="eastAsia"/>
          <w:snapToGrid w:val="false"/>
          <w:color w:val="000000"/>
          <w:spacing w:val="-6"/>
          <w:kern w:val="0"/>
          <w:sz w:val="31"/>
          <w:szCs w:val="31"/>
          <w:highlight w:val="none"/>
          <w14:textOutline w14:w="5793" w14:cmpd="sng" w14:cap="sq">
            <w14:solidFill>
              <w14:srgbClr w14:val="000000"/>
            </w14:solidFill>
            <w14:prstDash w14:val="solid"/>
            <w14:bevel/>
          </w14:textOutline>
        </w:rPr>
      </w:pPr>
      <w:r>
        <w:rPr>
          <w:rFonts w:hint="eastAsia"/>
          <w:snapToGrid w:val="false"/>
          <w:color w:val="000000"/>
          <w:spacing w:val="-6"/>
          <w:kern w:val="0"/>
          <w:sz w:val="31"/>
          <w:szCs w:val="31"/>
          <w:highlight w:val="none"/>
          <w14:textOutline w14:w="5793" w14:cmpd="sng" w14:cap="sq">
            <w14:solidFill>
              <w14:srgbClr w14:val="000000"/>
            </w14:solidFill>
            <w14:prstDash w14:val="solid"/>
            <w14:bevel/>
          </w14:textOutline>
        </w:rPr>
        <w:t>第一章 总 则</w:t>
      </w:r>
    </w:p>
    <w:p w14:paraId="4134EF49">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第一条 根据《中华人民共和国教育法》《中华人民共和国高等教育法》《中华人民共和国</w:t>
      </w:r>
      <w:r>
        <w:rPr>
          <w:rFonts w:ascii="仿宋" w:cs="仿宋" w:eastAsia="仿宋" w:hAnsi="仿宋" w:hint="eastAsia"/>
          <w:sz w:val="28"/>
          <w:szCs w:val="28"/>
          <w:highlight w:val="none"/>
          <w:lang w:val="en-US" w:eastAsia="zh-CN"/>
        </w:rPr>
        <w:t>职业</w:t>
      </w:r>
      <w:r>
        <w:rPr>
          <w:rFonts w:ascii="仿宋" w:cs="仿宋" w:eastAsia="仿宋" w:hAnsi="仿宋" w:hint="eastAsia"/>
          <w:sz w:val="28"/>
          <w:szCs w:val="28"/>
          <w:highlight w:val="none"/>
        </w:rPr>
        <w:t>教育法》等法律法规及教育部有关规定，依据湖南省教育厅《关于做好湖南省2025年高职（高专）院校单独招生工作的通知</w:t>
      </w:r>
      <w:r>
        <w:rPr>
          <w:rFonts w:ascii="仿宋" w:cs="仿宋" w:eastAsia="仿宋" w:hAnsi="仿宋" w:hint="eastAsia"/>
          <w:sz w:val="28"/>
          <w:szCs w:val="28"/>
          <w:highlight w:val="none"/>
          <w:lang w:eastAsia="zh-CN"/>
        </w:rPr>
        <w:t>》</w:t>
      </w:r>
      <w:r>
        <w:rPr>
          <w:rFonts w:ascii="仿宋" w:cs="仿宋" w:eastAsia="仿宋" w:hAnsi="仿宋" w:hint="eastAsia"/>
          <w:sz w:val="28"/>
          <w:szCs w:val="28"/>
          <w:highlight w:val="none"/>
        </w:rPr>
        <w:t>（湘教</w:t>
      </w:r>
      <w:r>
        <w:rPr>
          <w:rFonts w:ascii="仿宋" w:cs="仿宋" w:eastAsia="仿宋" w:hAnsi="仿宋" w:hint="eastAsia"/>
          <w:sz w:val="28"/>
          <w:szCs w:val="28"/>
          <w:highlight w:val="none"/>
          <w:lang w:val="en-US" w:eastAsia="zh-CN"/>
        </w:rPr>
        <w:t>发</w:t>
      </w:r>
      <w:r>
        <w:rPr>
          <w:rFonts w:ascii="仿宋" w:cs="仿宋" w:eastAsia="仿宋" w:hAnsi="仿宋" w:hint="eastAsia"/>
          <w:sz w:val="28"/>
          <w:szCs w:val="28"/>
          <w:highlight w:val="none"/>
        </w:rPr>
        <w:t>〔202</w:t>
      </w:r>
      <w:r>
        <w:rPr>
          <w:rFonts w:ascii="仿宋" w:cs="仿宋" w:eastAsia="仿宋" w:hAnsi="仿宋" w:hint="eastAsia"/>
          <w:sz w:val="28"/>
          <w:szCs w:val="28"/>
          <w:highlight w:val="none"/>
          <w:lang w:val="en-US" w:eastAsia="zh-CN"/>
        </w:rPr>
        <w:t>4</w:t>
      </w:r>
      <w:r>
        <w:rPr>
          <w:rFonts w:ascii="仿宋" w:cs="仿宋" w:eastAsia="仿宋" w:hAnsi="仿宋" w:hint="eastAsia"/>
          <w:sz w:val="28"/>
          <w:szCs w:val="28"/>
          <w:highlight w:val="none"/>
        </w:rPr>
        <w:t>〕271号）有关要求，结合学院单独招生工作（以下简称单招）</w:t>
      </w:r>
    </w:p>
    <w:p w14:paraId="6699526E">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实际，特制定本章程。</w:t>
      </w:r>
    </w:p>
    <w:p w14:paraId="4B1C04B6">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 xml:space="preserve">第二条 </w:t>
      </w:r>
      <w:r>
        <w:rPr>
          <w:rFonts w:ascii="仿宋" w:cs="仿宋" w:eastAsia="仿宋" w:hAnsi="仿宋" w:hint="eastAsia"/>
          <w:sz w:val="28"/>
          <w:szCs w:val="28"/>
          <w:highlight w:val="none"/>
          <w:lang w:val="en-US" w:eastAsia="zh-CN"/>
        </w:rPr>
        <w:t xml:space="preserve"> </w:t>
      </w:r>
      <w:r>
        <w:rPr>
          <w:rFonts w:ascii="仿宋" w:cs="仿宋" w:eastAsia="仿宋" w:hAnsi="仿宋" w:hint="eastAsia"/>
          <w:sz w:val="28"/>
          <w:szCs w:val="28"/>
          <w:highlight w:val="none"/>
        </w:rPr>
        <w:t>学校全称：邵阳职业技术学院</w:t>
      </w:r>
    </w:p>
    <w:p w14:paraId="11EF95C9">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1680" w:firstLineChars="6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办学地点：湖南省邵阳市大祥区学院路梅子井</w:t>
      </w:r>
    </w:p>
    <w:p w14:paraId="60EA34BA">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1680" w:firstLineChars="6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主管部门：邵阳市人民政府</w:t>
      </w:r>
    </w:p>
    <w:p w14:paraId="07CE04CB">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1680" w:firstLineChars="6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办学层次：高职（专科）</w:t>
      </w:r>
    </w:p>
    <w:p w14:paraId="51611DB3">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1680" w:firstLineChars="6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湖南省院校代号：4715</w:t>
      </w:r>
    </w:p>
    <w:p w14:paraId="457206DE">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1680" w:firstLineChars="6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办学类型：公办</w:t>
      </w:r>
    </w:p>
    <w:p w14:paraId="34023E34">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颁发学历证书的学校名称：邵阳职业技术学院。证书种类：普通高等学校全日制专科毕业证书。</w:t>
      </w:r>
    </w:p>
    <w:p w14:paraId="37A5F476">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第四条 学院单招工作遵循“公平竞争、公正选拔、公开透明 ”的原则，坚决执行招生政策规定和纪律要求，严格实施考试招生“阳光工程”。</w:t>
      </w:r>
    </w:p>
    <w:p w14:paraId="331C9F7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第五条 学院简介：邵阳职业技术学院是经湖南省人民政府批准、 教育部备案的公办全日制普通高等学校，是湖南省楚怡高水平高职学校建设单位，是全国工商联产教融合示范实训基地。</w:t>
      </w:r>
    </w:p>
    <w:p w14:paraId="10013B52">
      <w:pPr>
        <w:pStyle w:val="style66"/>
        <w:widowControl/>
        <w:kinsoku w:val="false"/>
        <w:autoSpaceDE w:val="false"/>
        <w:autoSpaceDN w:val="false"/>
        <w:adjustRightInd w:val="false"/>
        <w:snapToGrid w:val="false"/>
        <w:spacing w:before="101" w:lineRule="auto" w:line="228"/>
        <w:jc w:val="center"/>
        <w:textAlignment w:val="baseline"/>
        <w:rPr>
          <w:rFonts w:hint="eastAsia"/>
          <w:snapToGrid w:val="false"/>
          <w:color w:val="000000"/>
          <w:spacing w:val="-6"/>
          <w:kern w:val="0"/>
          <w:sz w:val="31"/>
          <w:szCs w:val="31"/>
          <w:highlight w:val="none"/>
          <w14:textOutline w14:w="5793" w14:cmpd="sng" w14:cap="sq">
            <w14:solidFill>
              <w14:srgbClr w14:val="000000"/>
            </w14:solidFill>
            <w14:prstDash w14:val="solid"/>
            <w14:bevel/>
          </w14:textOutline>
        </w:rPr>
      </w:pPr>
      <w:r>
        <w:rPr>
          <w:rFonts w:hint="eastAsia"/>
          <w:snapToGrid w:val="false"/>
          <w:color w:val="000000"/>
          <w:spacing w:val="-6"/>
          <w:kern w:val="0"/>
          <w:sz w:val="31"/>
          <w:szCs w:val="31"/>
          <w:highlight w:val="none"/>
          <w14:textOutline w14:w="5793" w14:cmpd="sng" w14:cap="sq">
            <w14:solidFill>
              <w14:srgbClr w14:val="000000"/>
            </w14:solidFill>
            <w14:prstDash w14:val="solid"/>
            <w14:bevel/>
          </w14:textOutline>
        </w:rPr>
        <w:t>第二章 组织机构及职责</w:t>
      </w:r>
    </w:p>
    <w:p w14:paraId="48189E52">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第六条 邵阳职业技术学院招生工作领导小组由院领导和相关部门负责人组成，负责研究决定本院单招规模确定、政策制订等重大事项，学院招生就业指导处负责单招组织实施的日常工作，学院宣传统战部、招生就业指导处、教务科研处、后勤保卫处等负责单招的考试组织工作。</w:t>
      </w:r>
    </w:p>
    <w:p w14:paraId="7F8E7905">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第七条 学院纪委负责全程监督检查单招工作。</w:t>
      </w:r>
    </w:p>
    <w:p w14:paraId="49D6B62E">
      <w:pPr>
        <w:pStyle w:val="style66"/>
        <w:widowControl/>
        <w:kinsoku w:val="false"/>
        <w:autoSpaceDE w:val="false"/>
        <w:autoSpaceDN w:val="false"/>
        <w:adjustRightInd w:val="false"/>
        <w:snapToGrid w:val="false"/>
        <w:spacing w:before="101" w:lineRule="auto" w:line="228"/>
        <w:jc w:val="center"/>
        <w:textAlignment w:val="baseline"/>
        <w:rPr>
          <w:rFonts w:hint="eastAsia"/>
          <w:snapToGrid w:val="false"/>
          <w:color w:val="000000"/>
          <w:spacing w:val="-6"/>
          <w:kern w:val="0"/>
          <w:sz w:val="31"/>
          <w:szCs w:val="31"/>
          <w:highlight w:val="none"/>
          <w14:textOutline w14:w="5793" w14:cmpd="sng" w14:cap="sq">
            <w14:solidFill>
              <w14:srgbClr w14:val="000000"/>
            </w14:solidFill>
            <w14:prstDash w14:val="solid"/>
            <w14:bevel/>
          </w14:textOutline>
        </w:rPr>
      </w:pPr>
      <w:r>
        <w:rPr>
          <w:rFonts w:hint="eastAsia"/>
          <w:snapToGrid w:val="false"/>
          <w:color w:val="000000"/>
          <w:spacing w:val="-6"/>
          <w:kern w:val="0"/>
          <w:sz w:val="31"/>
          <w:szCs w:val="31"/>
          <w:highlight w:val="none"/>
          <w14:textOutline w14:w="5793" w14:cmpd="sng" w14:cap="sq">
            <w14:solidFill>
              <w14:srgbClr w14:val="000000"/>
            </w14:solidFill>
            <w14:prstDash w14:val="solid"/>
            <w14:bevel/>
          </w14:textOutline>
        </w:rPr>
        <w:t>第三章 单招报考</w:t>
      </w:r>
    </w:p>
    <w:p w14:paraId="3E064AD0">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第八条 符合我省2025年普通高考（含对口招生考试）报名条件并已参加高考报名的人员，均可报考。</w:t>
      </w:r>
    </w:p>
    <w:p w14:paraId="0469BB9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 xml:space="preserve">第九条 全省单招统一报考和填报志愿时间为 </w:t>
      </w:r>
      <w:r>
        <w:rPr>
          <w:rFonts w:ascii="仿宋" w:cs="仿宋" w:eastAsia="仿宋" w:hAnsi="仿宋" w:hint="eastAsia"/>
          <w:sz w:val="28"/>
          <w:szCs w:val="28"/>
          <w:highlight w:val="none"/>
          <w:lang w:eastAsia="zh-CN"/>
        </w:rPr>
        <w:t>2025</w:t>
      </w:r>
      <w:r>
        <w:rPr>
          <w:rFonts w:ascii="仿宋" w:cs="仿宋" w:eastAsia="仿宋" w:hAnsi="仿宋" w:hint="eastAsia"/>
          <w:sz w:val="28"/>
          <w:szCs w:val="28"/>
          <w:highlight w:val="none"/>
        </w:rPr>
        <w:t>年2月</w:t>
      </w:r>
      <w:r>
        <w:rPr>
          <w:rFonts w:ascii="仿宋" w:cs="仿宋" w:eastAsia="仿宋" w:hAnsi="仿宋" w:hint="eastAsia"/>
          <w:sz w:val="28"/>
          <w:szCs w:val="28"/>
          <w:highlight w:val="none"/>
          <w:lang w:val="en-US" w:eastAsia="zh-CN"/>
        </w:rPr>
        <w:t>18</w:t>
      </w:r>
      <w:r>
        <w:rPr>
          <w:rFonts w:ascii="仿宋" w:cs="仿宋" w:eastAsia="仿宋" w:hAnsi="仿宋" w:hint="eastAsia"/>
          <w:sz w:val="28"/>
          <w:szCs w:val="28"/>
          <w:highlight w:val="none"/>
        </w:rPr>
        <w:t>日 -</w:t>
      </w:r>
      <w:r>
        <w:rPr>
          <w:rFonts w:ascii="仿宋" w:cs="仿宋" w:eastAsia="仿宋" w:hAnsi="仿宋" w:hint="eastAsia"/>
          <w:sz w:val="28"/>
          <w:szCs w:val="28"/>
          <w:highlight w:val="none"/>
          <w:lang w:val="en-US" w:eastAsia="zh-CN"/>
        </w:rPr>
        <w:t>2</w:t>
      </w:r>
      <w:r>
        <w:rPr>
          <w:rFonts w:ascii="仿宋" w:cs="仿宋" w:eastAsia="仿宋" w:hAnsi="仿宋" w:hint="eastAsia"/>
          <w:sz w:val="28"/>
          <w:szCs w:val="28"/>
          <w:highlight w:val="none"/>
        </w:rPr>
        <w:t>月</w:t>
      </w:r>
      <w:r>
        <w:rPr>
          <w:rFonts w:ascii="仿宋" w:cs="仿宋" w:eastAsia="仿宋" w:hAnsi="仿宋" w:hint="eastAsia"/>
          <w:sz w:val="28"/>
          <w:szCs w:val="28"/>
          <w:highlight w:val="none"/>
          <w:lang w:val="en-US" w:eastAsia="zh-CN"/>
        </w:rPr>
        <w:t>25</w:t>
      </w:r>
      <w:r>
        <w:rPr>
          <w:rFonts w:ascii="仿宋" w:cs="仿宋" w:eastAsia="仿宋" w:hAnsi="仿宋" w:hint="eastAsia"/>
          <w:sz w:val="28"/>
          <w:szCs w:val="28"/>
          <w:highlight w:val="none"/>
        </w:rPr>
        <w:t>日，实行网上报考和填报志愿。单招报考设第一志愿和第二志愿，考生可选择 1－2 所院校在指定网上平台进行报考。</w:t>
      </w:r>
    </w:p>
    <w:p w14:paraId="06C58E54">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在此期间，考生可登录湖南省普通高校招生考试考生综合信息平 台（以下简称“考生综合信息平台”）（网址：https://ks.hneao.cn） 或“潇湘高考 ”APP（通过苹果应用商店、腾讯应用宝、华为应用商 店、小米应用商店或“考生综合信息平台 ”首页下载 APP）填报报考志愿信息。请考生在报考前关注本院网站（www.syzyedu.com）公布的有关信息。</w:t>
      </w:r>
    </w:p>
    <w:p w14:paraId="77E49FF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第十条 填报专业要求。我院普通类计划实行专业组志愿，考生在填报我院志愿时，需选择一个专业组中的两个专业，并确定是否选择专业服从调剂。单列计划中的退役军人、体育特长生可在2</w:t>
      </w:r>
      <w:r>
        <w:rPr>
          <w:rFonts w:ascii="仿宋" w:cs="仿宋" w:eastAsia="仿宋" w:hAnsi="仿宋" w:hint="eastAsia"/>
          <w:sz w:val="28"/>
          <w:szCs w:val="28"/>
          <w:highlight w:val="none"/>
          <w:lang w:val="en-US" w:eastAsia="zh-CN"/>
        </w:rPr>
        <w:t>4</w:t>
      </w:r>
      <w:r>
        <w:rPr>
          <w:rFonts w:ascii="仿宋" w:cs="仿宋" w:eastAsia="仿宋" w:hAnsi="仿宋" w:hint="eastAsia"/>
          <w:sz w:val="28"/>
          <w:szCs w:val="28"/>
          <w:highlight w:val="none"/>
        </w:rPr>
        <w:t>个专业范围内任选两个专业。</w:t>
      </w:r>
    </w:p>
    <w:p w14:paraId="4130BBB0">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第十一条 退役军人身份认定。退役军人由户籍所在县（市、区） 退役军人事务部门进行认定。将本人身份证、退出现役证（转业证）、《湖南省202</w:t>
      </w:r>
      <w:r>
        <w:rPr>
          <w:rFonts w:ascii="仿宋" w:cs="仿宋" w:eastAsia="仿宋" w:hAnsi="仿宋" w:hint="eastAsia"/>
          <w:sz w:val="28"/>
          <w:szCs w:val="28"/>
          <w:highlight w:val="none"/>
          <w:lang w:val="en-US" w:eastAsia="zh-CN"/>
        </w:rPr>
        <w:t>5</w:t>
      </w:r>
      <w:r>
        <w:rPr>
          <w:rFonts w:ascii="仿宋" w:cs="仿宋" w:eastAsia="仿宋" w:hAnsi="仿宋" w:hint="eastAsia"/>
          <w:sz w:val="28"/>
          <w:szCs w:val="28"/>
          <w:highlight w:val="none"/>
        </w:rPr>
        <w:t>年高职报名身份审核（界定）表》等相关证明材料扫描</w:t>
      </w:r>
      <w:r>
        <w:rPr>
          <w:rFonts w:ascii="仿宋" w:cs="仿宋" w:eastAsia="仿宋" w:hAnsi="仿宋" w:hint="eastAsia"/>
          <w:sz w:val="28"/>
          <w:szCs w:val="28"/>
          <w:highlight w:val="none"/>
          <w:lang w:val="en-US" w:eastAsia="zh-CN"/>
        </w:rPr>
        <w:t>件在</w:t>
      </w:r>
      <w:r>
        <w:rPr>
          <w:rFonts w:ascii="仿宋" w:cs="仿宋" w:eastAsia="仿宋" w:hAnsi="仿宋" w:hint="eastAsia"/>
          <w:sz w:val="28"/>
          <w:szCs w:val="28"/>
          <w:highlight w:val="none"/>
          <w:lang w:eastAsia="zh-CN"/>
        </w:rPr>
        <w:t>2025</w:t>
      </w:r>
      <w:r>
        <w:rPr>
          <w:rFonts w:ascii="仿宋" w:cs="仿宋" w:eastAsia="仿宋" w:hAnsi="仿宋" w:hint="eastAsia"/>
          <w:sz w:val="28"/>
          <w:szCs w:val="28"/>
          <w:highlight w:val="none"/>
        </w:rPr>
        <w:t>年2</w:t>
      </w:r>
      <w:r>
        <w:rPr>
          <w:rFonts w:ascii="仿宋" w:cs="仿宋" w:eastAsia="仿宋" w:hAnsi="仿宋" w:hint="eastAsia"/>
          <w:sz w:val="28"/>
          <w:szCs w:val="28"/>
          <w:highlight w:val="none"/>
          <w:lang w:val="en-US" w:eastAsia="zh-CN"/>
        </w:rPr>
        <w:t>月22</w:t>
      </w:r>
      <w:r>
        <w:rPr>
          <w:rFonts w:ascii="仿宋" w:cs="仿宋" w:eastAsia="仿宋" w:hAnsi="仿宋" w:hint="eastAsia"/>
          <w:sz w:val="28"/>
          <w:szCs w:val="28"/>
          <w:highlight w:val="none"/>
        </w:rPr>
        <w:t>日</w:t>
      </w:r>
      <w:r>
        <w:rPr>
          <w:rFonts w:ascii="仿宋" w:cs="仿宋" w:eastAsia="仿宋" w:hAnsi="仿宋" w:hint="eastAsia"/>
          <w:sz w:val="28"/>
          <w:szCs w:val="28"/>
          <w:highlight w:val="none"/>
          <w:lang w:val="en-US" w:eastAsia="zh-CN"/>
        </w:rPr>
        <w:t>8：00前</w:t>
      </w:r>
      <w:r>
        <w:rPr>
          <w:rFonts w:ascii="仿宋" w:cs="仿宋" w:eastAsia="仿宋" w:hAnsi="仿宋" w:hint="eastAsia"/>
          <w:sz w:val="28"/>
          <w:szCs w:val="28"/>
          <w:highlight w:val="none"/>
        </w:rPr>
        <w:t>通过网上提交方式发至邮箱</w:t>
      </w:r>
      <w:r>
        <w:rPr>
          <w:rFonts w:ascii="Segoe UI" w:cs="Segoe UI" w:eastAsia="Segoe UI" w:hAnsi="Segoe UI"/>
          <w:i w:val="false"/>
          <w:iCs w:val="false"/>
          <w:caps w:val="false"/>
          <w:color w:val="21293a"/>
          <w:spacing w:val="0"/>
          <w:sz w:val="24"/>
          <w:szCs w:val="24"/>
          <w:highlight w:val="none"/>
          <w:shd w:val="clear" w:color="auto" w:fill="ffffff"/>
        </w:rPr>
        <w:t>syzyzjc@126.com</w:t>
      </w:r>
      <w:r>
        <w:rPr>
          <w:rFonts w:ascii="仿宋" w:cs="仿宋" w:eastAsia="仿宋" w:hAnsi="仿宋" w:hint="eastAsia"/>
          <w:sz w:val="28"/>
          <w:szCs w:val="28"/>
          <w:highlight w:val="none"/>
        </w:rPr>
        <w:t> 交由我院招生就业指导处审核（具体联系</w:t>
      </w:r>
      <w:r>
        <w:rPr>
          <w:rFonts w:ascii="仿宋" w:cs="仿宋" w:eastAsia="仿宋" w:hAnsi="仿宋" w:hint="eastAsia"/>
          <w:sz w:val="28"/>
          <w:szCs w:val="28"/>
          <w:highlight w:val="none"/>
          <w:lang w:val="en-US" w:eastAsia="zh-CN"/>
        </w:rPr>
        <w:t>方</w:t>
      </w:r>
      <w:r>
        <w:rPr>
          <w:rFonts w:ascii="仿宋" w:cs="仿宋" w:eastAsia="仿宋" w:hAnsi="仿宋" w:hint="eastAsia"/>
          <w:sz w:val="28"/>
          <w:szCs w:val="28"/>
          <w:highlight w:val="none"/>
        </w:rPr>
        <w:t>式：0739-5301928</w:t>
      </w:r>
      <w:r>
        <w:rPr>
          <w:rFonts w:ascii="仿宋" w:cs="仿宋" w:eastAsia="仿宋" w:hAnsi="仿宋" w:hint="eastAsia"/>
          <w:sz w:val="28"/>
          <w:szCs w:val="28"/>
          <w:highlight w:val="none"/>
          <w:lang w:eastAsia="zh-CN"/>
        </w:rPr>
        <w:t>、</w:t>
      </w:r>
      <w:r>
        <w:rPr>
          <w:rFonts w:ascii="仿宋" w:cs="仿宋" w:eastAsia="仿宋" w:hAnsi="仿宋" w:hint="eastAsia"/>
          <w:sz w:val="28"/>
          <w:szCs w:val="28"/>
          <w:highlight w:val="none"/>
        </w:rPr>
        <w:t>0739-5301616）。电子邮件主题及附件均命名为“退役军人+姓名+联系电话”，例：退役军人+</w:t>
      </w:r>
      <w:r>
        <w:rPr>
          <w:rFonts w:ascii="仿宋" w:cs="仿宋" w:eastAsia="仿宋" w:hAnsi="仿宋" w:hint="eastAsia"/>
          <w:sz w:val="28"/>
          <w:szCs w:val="28"/>
          <w:highlight w:val="none"/>
          <w:lang w:val="en-US" w:eastAsia="zh-CN"/>
        </w:rPr>
        <w:t>张三</w:t>
      </w:r>
      <w:r>
        <w:rPr>
          <w:rFonts w:ascii="仿宋" w:cs="仿宋" w:eastAsia="仿宋" w:hAnsi="仿宋" w:hint="eastAsia"/>
          <w:sz w:val="28"/>
          <w:szCs w:val="28"/>
          <w:highlight w:val="none"/>
        </w:rPr>
        <w:t>+联系电话。不能按要求提供证明材料的考生只能以普通高中往届生或同等学力人员身份报考，提供虚假证明材料的将依据教育部相关规定取消高考报名资格，已录取的取消录取资格。</w:t>
      </w:r>
    </w:p>
    <w:p w14:paraId="48F4E2A8">
      <w:pPr>
        <w:pStyle w:val="style66"/>
        <w:widowControl/>
        <w:kinsoku w:val="false"/>
        <w:autoSpaceDE w:val="false"/>
        <w:autoSpaceDN w:val="false"/>
        <w:adjustRightInd w:val="false"/>
        <w:snapToGrid w:val="false"/>
        <w:spacing w:before="101" w:lineRule="auto" w:line="228"/>
        <w:jc w:val="center"/>
        <w:textAlignment w:val="baseline"/>
        <w:rPr>
          <w:rFonts w:hint="eastAsia"/>
          <w:snapToGrid w:val="false"/>
          <w:color w:val="000000"/>
          <w:spacing w:val="-6"/>
          <w:kern w:val="0"/>
          <w:sz w:val="31"/>
          <w:szCs w:val="31"/>
          <w:highlight w:val="none"/>
          <w14:textOutline w14:w="5793" w14:cmpd="sng" w14:cap="sq">
            <w14:solidFill>
              <w14:srgbClr w14:val="000000"/>
            </w14:solidFill>
            <w14:prstDash w14:val="solid"/>
            <w14:bevel/>
          </w14:textOutline>
        </w:rPr>
      </w:pPr>
      <w:r>
        <w:rPr>
          <w:rFonts w:hint="eastAsia"/>
          <w:snapToGrid w:val="false"/>
          <w:color w:val="000000"/>
          <w:spacing w:val="-6"/>
          <w:kern w:val="0"/>
          <w:sz w:val="31"/>
          <w:szCs w:val="31"/>
          <w:highlight w:val="none"/>
          <w14:textOutline w14:w="5793" w14:cmpd="sng" w14:cap="sq">
            <w14:solidFill>
              <w14:srgbClr w14:val="000000"/>
            </w14:solidFill>
            <w14:prstDash w14:val="solid"/>
            <w14:bevel/>
          </w14:textOutline>
        </w:rPr>
        <w:t>第四章 单招计划及专业</w:t>
      </w:r>
    </w:p>
    <w:p w14:paraId="437CE561">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第十二条 我院202</w:t>
      </w:r>
      <w:r>
        <w:rPr>
          <w:rFonts w:ascii="仿宋" w:cs="仿宋" w:eastAsia="仿宋" w:hAnsi="仿宋" w:hint="eastAsia"/>
          <w:sz w:val="28"/>
          <w:szCs w:val="28"/>
          <w:highlight w:val="none"/>
          <w:lang w:val="en-US" w:eastAsia="zh-CN"/>
        </w:rPr>
        <w:t>5</w:t>
      </w:r>
      <w:r>
        <w:rPr>
          <w:rFonts w:ascii="仿宋" w:cs="仿宋" w:eastAsia="仿宋" w:hAnsi="仿宋" w:hint="eastAsia"/>
          <w:sz w:val="28"/>
          <w:szCs w:val="28"/>
          <w:highlight w:val="none"/>
        </w:rPr>
        <w:t>年单招总计划数为2025人，其中包含单列计划的退役军人15人、体育特长生20人。我院</w:t>
      </w:r>
      <w:r>
        <w:rPr>
          <w:rFonts w:ascii="仿宋" w:cs="仿宋" w:eastAsia="仿宋" w:hAnsi="仿宋" w:hint="eastAsia"/>
          <w:sz w:val="28"/>
          <w:szCs w:val="28"/>
          <w:highlight w:val="none"/>
          <w:lang w:val="en-US" w:eastAsia="zh-CN"/>
        </w:rPr>
        <w:t>2025</w:t>
      </w:r>
      <w:r>
        <w:rPr>
          <w:rFonts w:ascii="仿宋" w:cs="仿宋" w:eastAsia="仿宋" w:hAnsi="仿宋" w:hint="eastAsia"/>
          <w:sz w:val="28"/>
          <w:szCs w:val="28"/>
          <w:highlight w:val="none"/>
        </w:rPr>
        <w:t>年</w:t>
      </w:r>
      <w:r>
        <w:rPr>
          <w:rFonts w:ascii="仿宋" w:cs="仿宋" w:eastAsia="仿宋" w:hAnsi="仿宋" w:hint="eastAsia"/>
          <w:sz w:val="28"/>
          <w:szCs w:val="28"/>
          <w:highlight w:val="none"/>
          <w:lang w:val="en-US" w:eastAsia="zh-CN"/>
        </w:rPr>
        <w:t>最终单招专业及计划以湖南省教育考试院公布为准</w:t>
      </w:r>
      <w:r>
        <w:rPr>
          <w:rFonts w:ascii="仿宋" w:cs="仿宋" w:eastAsia="仿宋" w:hAnsi="仿宋" w:hint="eastAsia"/>
          <w:sz w:val="28"/>
          <w:szCs w:val="28"/>
          <w:highlight w:val="none"/>
        </w:rPr>
        <w:t>，各专业最终学费标准以202</w:t>
      </w:r>
      <w:r>
        <w:rPr>
          <w:rFonts w:ascii="仿宋" w:cs="仿宋" w:eastAsia="仿宋" w:hAnsi="仿宋" w:hint="eastAsia"/>
          <w:sz w:val="28"/>
          <w:szCs w:val="28"/>
          <w:highlight w:val="none"/>
          <w:lang w:val="en-US" w:eastAsia="zh-CN"/>
        </w:rPr>
        <w:t>5</w:t>
      </w:r>
      <w:r>
        <w:rPr>
          <w:rFonts w:ascii="仿宋" w:cs="仿宋" w:eastAsia="仿宋" w:hAnsi="仿宋" w:hint="eastAsia"/>
          <w:sz w:val="28"/>
          <w:szCs w:val="28"/>
          <w:highlight w:val="none"/>
        </w:rPr>
        <w:t>年湖南省物价主管部门审核为准。</w:t>
      </w:r>
    </w:p>
    <w:p w14:paraId="5D935752">
      <w:pPr>
        <w:pStyle w:val="style0"/>
        <w:spacing w:before="157" w:lineRule="auto" w:line="221"/>
        <w:ind w:left="124"/>
        <w:rPr>
          <w:rFonts w:ascii="宋体" w:cs="宋体" w:eastAsia="宋体" w:hAnsi="宋体"/>
          <w:sz w:val="28"/>
          <w:szCs w:val="28"/>
          <w:highlight w:val="none"/>
        </w:rPr>
      </w:pPr>
      <w:r>
        <w:rPr>
          <w:rFonts w:ascii="宋体" w:cs="宋体" w:eastAsia="宋体" w:hAnsi="宋体"/>
          <w:spacing w:val="-3"/>
          <w:sz w:val="28"/>
          <w:szCs w:val="28"/>
          <w:highlight w:val="none"/>
        </w:rPr>
        <w:t>专业组一：</w:t>
      </w:r>
    </w:p>
    <w:p w14:paraId="4D53F6F0">
      <w:pPr>
        <w:pStyle w:val="style0"/>
        <w:spacing w:lineRule="auto" w:line="105"/>
        <w:rPr>
          <w:rFonts w:ascii="Arial"/>
          <w:sz w:val="2"/>
          <w:highlight w:val="none"/>
        </w:rPr>
      </w:pPr>
    </w:p>
    <w:tbl>
      <w:tblPr>
        <w:tblStyle w:val="style105"/>
        <w:tblW w:w="71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108" w:type="dxa"/>
          <w:bottom w:w="0" w:type="dxa"/>
          <w:right w:w="108" w:type="dxa"/>
        </w:tblCellMar>
      </w:tblPr>
      <w:tblGrid>
        <w:gridCol w:w="1995"/>
        <w:gridCol w:w="2295"/>
        <w:gridCol w:w="840"/>
        <w:gridCol w:w="2010"/>
      </w:tblGrid>
      <w:tr w14:paraId="2F93D5EB">
        <w:trPr>
          <w:trHeight w:val="312" w:hRule="atLeast"/>
          <w:jc w:val="center"/>
        </w:trPr>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7D6A34">
            <w:pPr>
              <w:pStyle w:val="style0"/>
              <w:keepNext w:val="false"/>
              <w:keepLines w:val="false"/>
              <w:widowControl/>
              <w:suppressLineNumbers w:val="false"/>
              <w:jc w:val="center"/>
              <w:textAlignment w:val="center"/>
              <w:rPr>
                <w:rFonts w:ascii="仿宋" w:cs="仿宋" w:eastAsia="仿宋" w:hAnsi="仿宋"/>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二级学院</w:t>
            </w:r>
          </w:p>
        </w:tc>
        <w:tc>
          <w:tcPr>
            <w:tcW w:w="22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AC49D8">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专业</w:t>
            </w: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F22C831">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学制</w:t>
            </w:r>
          </w:p>
        </w:tc>
        <w:tc>
          <w:tcPr>
            <w:tcW w:w="20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A89BC7">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学费（元/年）</w:t>
            </w:r>
          </w:p>
        </w:tc>
      </w:tr>
      <w:tr w14:paraId="57DBEA04">
        <w:tblPrEx/>
        <w:trPr>
          <w:trHeight w:val="312"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0FAA7C85">
            <w:pPr>
              <w:pStyle w:val="style0"/>
              <w:jc w:val="center"/>
              <w:rPr>
                <w:rFonts w:ascii="仿宋" w:cs="仿宋" w:eastAsia="仿宋" w:hAnsi="仿宋" w:hint="eastAsia"/>
                <w:b/>
                <w:bCs/>
                <w:i w:val="false"/>
                <w:iCs w:val="false"/>
                <w:color w:val="000000"/>
                <w:sz w:val="22"/>
                <w:szCs w:val="22"/>
                <w:highlight w:val="none"/>
                <w:u w:val="none"/>
              </w:rPr>
            </w:pPr>
          </w:p>
        </w:tc>
        <w:tc>
          <w:tcPr>
            <w:tcW w:w="22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30229B78">
            <w:pPr>
              <w:pStyle w:val="style0"/>
              <w:jc w:val="center"/>
              <w:rPr>
                <w:rFonts w:ascii="仿宋" w:cs="仿宋" w:eastAsia="仿宋" w:hAnsi="仿宋" w:hint="eastAsia"/>
                <w:b/>
                <w:bCs/>
                <w:i w:val="false"/>
                <w:iCs w:val="false"/>
                <w:color w:val="000000"/>
                <w:sz w:val="22"/>
                <w:szCs w:val="22"/>
                <w:highlight w:val="none"/>
                <w:u w:val="none"/>
              </w:rPr>
            </w:pPr>
          </w:p>
        </w:tc>
        <w:tc>
          <w:tcPr>
            <w:tcW w:w="840"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535A3263">
            <w:pPr>
              <w:pStyle w:val="style0"/>
              <w:jc w:val="center"/>
              <w:rPr>
                <w:rFonts w:ascii="仿宋" w:cs="仿宋" w:eastAsia="仿宋" w:hAnsi="仿宋" w:hint="eastAsia"/>
                <w:b/>
                <w:bCs/>
                <w:i w:val="false"/>
                <w:iCs w:val="false"/>
                <w:color w:val="000000"/>
                <w:sz w:val="22"/>
                <w:szCs w:val="22"/>
                <w:highlight w:val="none"/>
                <w:u w:val="none"/>
              </w:rPr>
            </w:pPr>
          </w:p>
        </w:tc>
        <w:tc>
          <w:tcPr>
            <w:tcW w:w="2010"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3764008B">
            <w:pPr>
              <w:pStyle w:val="style0"/>
              <w:jc w:val="center"/>
              <w:rPr>
                <w:rFonts w:ascii="仿宋" w:cs="仿宋" w:eastAsia="仿宋" w:hAnsi="仿宋" w:hint="eastAsia"/>
                <w:b/>
                <w:bCs/>
                <w:i w:val="false"/>
                <w:iCs w:val="false"/>
                <w:color w:val="000000"/>
                <w:sz w:val="22"/>
                <w:szCs w:val="22"/>
                <w:highlight w:val="none"/>
                <w:u w:val="none"/>
              </w:rPr>
            </w:pPr>
          </w:p>
        </w:tc>
      </w:tr>
      <w:tr w14:paraId="5F27AC0E">
        <w:tblPrEx/>
        <w:trPr>
          <w:trHeight w:val="285" w:hRule="atLeast"/>
          <w:jc w:val="center"/>
        </w:trPr>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B57BAD">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8"/>
                <w:szCs w:val="28"/>
                <w:highlight w:val="none"/>
                <w:u w:val="none"/>
              </w:rPr>
            </w:pPr>
            <w:r>
              <w:rPr>
                <w:rFonts w:ascii="仿宋" w:cs="仿宋" w:eastAsia="仿宋" w:hAnsi="仿宋" w:hint="eastAsia"/>
                <w:b/>
                <w:bCs/>
                <w:i w:val="false"/>
                <w:iCs w:val="false"/>
                <w:color w:val="000000"/>
                <w:kern w:val="0"/>
                <w:sz w:val="28"/>
                <w:szCs w:val="28"/>
                <w:highlight w:val="none"/>
                <w:u w:val="none"/>
                <w:lang w:val="en-US" w:eastAsia="zh-CN"/>
              </w:rPr>
              <w:t>建筑工程学院</w:t>
            </w: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2B401">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建筑消防技术</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06D1C">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4E07B">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767A285B">
        <w:tblPrEx/>
        <w:trPr>
          <w:trHeight w:val="90"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5A0FCF80">
            <w:pPr>
              <w:pStyle w:val="style0"/>
              <w:jc w:val="center"/>
              <w:rPr>
                <w:rFonts w:ascii="仿宋" w:cs="仿宋" w:eastAsia="仿宋" w:hAnsi="仿宋" w:hint="eastAsia"/>
                <w:b/>
                <w:bCs/>
                <w:i w:val="false"/>
                <w:iCs w:val="false"/>
                <w:color w:val="000000"/>
                <w:sz w:val="28"/>
                <w:szCs w:val="28"/>
                <w:highlight w:val="none"/>
                <w:u w:val="none"/>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EA923">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工程造价</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A62EC">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81900">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1770E69C">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158F9CCA">
            <w:pPr>
              <w:pStyle w:val="style0"/>
              <w:jc w:val="center"/>
              <w:rPr>
                <w:rFonts w:ascii="仿宋" w:cs="仿宋" w:eastAsia="仿宋" w:hAnsi="仿宋" w:hint="eastAsia"/>
                <w:b/>
                <w:bCs/>
                <w:i w:val="false"/>
                <w:iCs w:val="false"/>
                <w:color w:val="000000"/>
                <w:sz w:val="28"/>
                <w:szCs w:val="28"/>
                <w:highlight w:val="none"/>
                <w:u w:val="none"/>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A68F2">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建筑装饰工程技术</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3BD36">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EEC34">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4D06D847">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34DE8749">
            <w:pPr>
              <w:pStyle w:val="style0"/>
              <w:jc w:val="center"/>
              <w:rPr>
                <w:rFonts w:ascii="仿宋" w:cs="仿宋" w:eastAsia="仿宋" w:hAnsi="仿宋" w:hint="eastAsia"/>
                <w:b/>
                <w:bCs/>
                <w:i w:val="false"/>
                <w:iCs w:val="false"/>
                <w:color w:val="000000"/>
                <w:sz w:val="28"/>
                <w:szCs w:val="28"/>
                <w:highlight w:val="none"/>
                <w:u w:val="none"/>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5E6AB">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建筑工程技术</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5537B">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9F44E">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5911C587">
        <w:tblPrEx/>
        <w:trPr>
          <w:trHeight w:val="285" w:hRule="atLeast"/>
          <w:jc w:val="center"/>
        </w:trPr>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2F654E">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8"/>
                <w:szCs w:val="28"/>
                <w:highlight w:val="none"/>
                <w:u w:val="none"/>
              </w:rPr>
            </w:pPr>
            <w:r>
              <w:rPr>
                <w:rFonts w:ascii="仿宋" w:cs="仿宋" w:eastAsia="仿宋" w:hAnsi="仿宋" w:hint="eastAsia"/>
                <w:b/>
                <w:bCs/>
                <w:i w:val="false"/>
                <w:iCs w:val="false"/>
                <w:color w:val="000000"/>
                <w:kern w:val="0"/>
                <w:sz w:val="28"/>
                <w:szCs w:val="28"/>
                <w:highlight w:val="none"/>
                <w:u w:val="none"/>
                <w:lang w:val="en-US" w:eastAsia="zh-CN"/>
              </w:rPr>
              <w:t>生物工程学院</w:t>
            </w: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81C2B">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动物医学</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4051">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0CC34">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3300</w:t>
            </w:r>
          </w:p>
        </w:tc>
      </w:tr>
      <w:tr w14:paraId="2F72B07C">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70436A0B">
            <w:pPr>
              <w:pStyle w:val="style0"/>
              <w:jc w:val="center"/>
              <w:rPr>
                <w:rFonts w:ascii="仿宋" w:cs="仿宋" w:eastAsia="仿宋" w:hAnsi="仿宋" w:hint="eastAsia"/>
                <w:b/>
                <w:bCs/>
                <w:i w:val="false"/>
                <w:iCs w:val="false"/>
                <w:color w:val="000000"/>
                <w:sz w:val="28"/>
                <w:szCs w:val="28"/>
                <w:highlight w:val="none"/>
                <w:u w:val="none"/>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62AA2">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宠物医疗技术</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A2677">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2A1C7">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3300</w:t>
            </w:r>
          </w:p>
        </w:tc>
      </w:tr>
      <w:tr w14:paraId="4F754A5C">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06BACE55">
            <w:pPr>
              <w:pStyle w:val="style0"/>
              <w:jc w:val="center"/>
              <w:rPr>
                <w:rFonts w:ascii="仿宋" w:cs="仿宋" w:eastAsia="仿宋" w:hAnsi="仿宋" w:hint="eastAsia"/>
                <w:b/>
                <w:bCs/>
                <w:i w:val="false"/>
                <w:iCs w:val="false"/>
                <w:color w:val="000000"/>
                <w:sz w:val="28"/>
                <w:szCs w:val="28"/>
                <w:highlight w:val="none"/>
                <w:u w:val="none"/>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B2F96">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药品生产技术</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B2271">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935B2">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51D4F673">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07F476D2">
            <w:pPr>
              <w:pStyle w:val="style0"/>
              <w:jc w:val="center"/>
              <w:rPr>
                <w:rFonts w:ascii="仿宋" w:cs="仿宋" w:eastAsia="仿宋" w:hAnsi="仿宋" w:hint="eastAsia"/>
                <w:b/>
                <w:bCs/>
                <w:i w:val="false"/>
                <w:iCs w:val="false"/>
                <w:color w:val="000000"/>
                <w:sz w:val="28"/>
                <w:szCs w:val="28"/>
                <w:highlight w:val="none"/>
                <w:u w:val="none"/>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68D7A">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现代农业技术</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C80B6">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A091C">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3300</w:t>
            </w:r>
          </w:p>
        </w:tc>
      </w:tr>
      <w:tr w14:paraId="4CB4BE63">
        <w:tblPrEx/>
        <w:trPr>
          <w:trHeight w:val="285" w:hRule="atLeast"/>
          <w:jc w:val="center"/>
        </w:trPr>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EA7776A">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8"/>
                <w:szCs w:val="28"/>
                <w:highlight w:val="none"/>
                <w:u w:val="none"/>
              </w:rPr>
            </w:pPr>
            <w:r>
              <w:rPr>
                <w:rFonts w:ascii="仿宋" w:cs="仿宋" w:eastAsia="仿宋" w:hAnsi="仿宋" w:hint="eastAsia"/>
                <w:b/>
                <w:bCs/>
                <w:i w:val="false"/>
                <w:iCs w:val="false"/>
                <w:color w:val="000000"/>
                <w:kern w:val="0"/>
                <w:sz w:val="28"/>
                <w:szCs w:val="28"/>
                <w:highlight w:val="none"/>
                <w:u w:val="none"/>
                <w:lang w:val="en-US" w:eastAsia="zh-CN"/>
              </w:rPr>
              <w:t>艺术创意学院</w:t>
            </w: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151F7">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广告艺术设计</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4FC58">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6437E">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6050</w:t>
            </w:r>
          </w:p>
        </w:tc>
      </w:tr>
      <w:tr w14:paraId="60F69F11">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296FF88B">
            <w:pPr>
              <w:pStyle w:val="style0"/>
              <w:jc w:val="center"/>
              <w:rPr>
                <w:rFonts w:ascii="仿宋" w:cs="仿宋" w:eastAsia="仿宋" w:hAnsi="仿宋" w:hint="eastAsia"/>
                <w:b/>
                <w:bCs/>
                <w:i w:val="false"/>
                <w:iCs w:val="false"/>
                <w:color w:val="000000"/>
                <w:sz w:val="28"/>
                <w:szCs w:val="28"/>
                <w:highlight w:val="none"/>
                <w:u w:val="none"/>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77B35">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电子商务</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F3085">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D82AD">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3850</w:t>
            </w:r>
          </w:p>
        </w:tc>
      </w:tr>
      <w:tr w14:paraId="74F28F36">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4396C282">
            <w:pPr>
              <w:pStyle w:val="style0"/>
              <w:jc w:val="center"/>
              <w:rPr>
                <w:rFonts w:ascii="仿宋" w:cs="仿宋" w:eastAsia="仿宋" w:hAnsi="仿宋" w:hint="eastAsia"/>
                <w:b/>
                <w:bCs/>
                <w:i w:val="false"/>
                <w:iCs w:val="false"/>
                <w:color w:val="000000"/>
                <w:sz w:val="28"/>
                <w:szCs w:val="28"/>
                <w:highlight w:val="none"/>
                <w:u w:val="none"/>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4049D">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服装与服饰设计</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B48B0">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BF7A3">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6050</w:t>
            </w:r>
          </w:p>
        </w:tc>
      </w:tr>
      <w:tr w14:paraId="43FB3C82">
        <w:tblPrEx/>
        <w:trPr>
          <w:trHeight w:val="285" w:hRule="atLeast"/>
          <w:jc w:val="center"/>
        </w:trPr>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180399">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8"/>
                <w:szCs w:val="28"/>
                <w:highlight w:val="none"/>
                <w:u w:val="none"/>
              </w:rPr>
            </w:pPr>
            <w:r>
              <w:rPr>
                <w:rFonts w:ascii="仿宋" w:cs="仿宋" w:eastAsia="仿宋" w:hAnsi="仿宋" w:hint="eastAsia"/>
                <w:b/>
                <w:bCs/>
                <w:i w:val="false"/>
                <w:iCs w:val="false"/>
                <w:color w:val="000000"/>
                <w:kern w:val="0"/>
                <w:sz w:val="28"/>
                <w:szCs w:val="28"/>
                <w:highlight w:val="none"/>
                <w:u w:val="none"/>
                <w:lang w:val="en-US" w:eastAsia="zh-CN"/>
              </w:rPr>
              <w:t>财会工商学院</w:t>
            </w: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D5F71">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大数据与会计</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5F91F">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8F366">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3850</w:t>
            </w:r>
          </w:p>
        </w:tc>
      </w:tr>
      <w:tr w14:paraId="5E4C565C">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3C4679C0">
            <w:pPr>
              <w:pStyle w:val="style0"/>
              <w:jc w:val="center"/>
              <w:rPr>
                <w:rFonts w:ascii="仿宋" w:cs="仿宋" w:eastAsia="仿宋" w:hAnsi="仿宋" w:hint="eastAsia"/>
                <w:b/>
                <w:bCs/>
                <w:i w:val="false"/>
                <w:iCs w:val="false"/>
                <w:color w:val="000000"/>
                <w:sz w:val="28"/>
                <w:szCs w:val="28"/>
                <w:highlight w:val="none"/>
                <w:u w:val="none"/>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8CDDAF">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金融服务与管理</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19DD6">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7D0E">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3850</w:t>
            </w:r>
          </w:p>
        </w:tc>
      </w:tr>
      <w:tr w14:paraId="679F804A">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0B263718">
            <w:pPr>
              <w:pStyle w:val="style0"/>
              <w:jc w:val="center"/>
              <w:rPr>
                <w:rFonts w:ascii="仿宋" w:cs="仿宋" w:eastAsia="仿宋" w:hAnsi="仿宋" w:hint="eastAsia"/>
                <w:b/>
                <w:bCs/>
                <w:i w:val="false"/>
                <w:iCs w:val="false"/>
                <w:color w:val="000000"/>
                <w:sz w:val="28"/>
                <w:szCs w:val="28"/>
                <w:highlight w:val="none"/>
                <w:u w:val="none"/>
              </w:rPr>
            </w:pPr>
          </w:p>
        </w:tc>
        <w:tc>
          <w:tcPr>
            <w:tcW w:w="22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769EA">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旅游管理</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64EF3">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D549A">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bl>
    <w:p w14:paraId="2FC54EBF">
      <w:pPr>
        <w:pStyle w:val="style0"/>
        <w:rPr>
          <w:rFonts w:ascii="Arial" w:cs="Arial" w:eastAsia="Arial" w:hAnsi="Arial"/>
          <w:sz w:val="21"/>
          <w:szCs w:val="21"/>
          <w:highlight w:val="none"/>
        </w:rPr>
        <w:sectPr>
          <w:footerReference w:type="default" r:id="rId2"/>
          <w:pgSz w:w="11906" w:h="16839" w:orient="portrait"/>
          <w:pgMar w:top="1431" w:right="1687" w:bottom="1602" w:left="1687" w:header="0" w:footer="1440" w:gutter="0"/>
          <w:cols w:space="720" w:num="1"/>
        </w:sectPr>
      </w:pPr>
    </w:p>
    <w:p w14:paraId="61CC0002">
      <w:pPr>
        <w:pStyle w:val="style0"/>
        <w:spacing w:before="91" w:lineRule="auto" w:line="221"/>
        <w:rPr>
          <w:rFonts w:ascii="宋体" w:cs="宋体" w:eastAsia="宋体" w:hAnsi="宋体"/>
          <w:sz w:val="28"/>
          <w:szCs w:val="28"/>
          <w:highlight w:val="none"/>
        </w:rPr>
      </w:pPr>
      <w:r>
        <w:rPr>
          <w:rFonts w:ascii="宋体" w:cs="宋体" w:eastAsia="宋体" w:hAnsi="宋体"/>
          <w:spacing w:val="-3"/>
          <w:sz w:val="28"/>
          <w:szCs w:val="28"/>
          <w:highlight w:val="none"/>
        </w:rPr>
        <w:t>专业组二：</w:t>
      </w:r>
    </w:p>
    <w:tbl>
      <w:tblPr>
        <w:tblStyle w:val="style105"/>
        <w:tblW w:w="74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0" w:type="dxa"/>
          <w:left w:w="108" w:type="dxa"/>
          <w:bottom w:w="0" w:type="dxa"/>
          <w:right w:w="108" w:type="dxa"/>
        </w:tblCellMar>
      </w:tblPr>
      <w:tblGrid>
        <w:gridCol w:w="1995"/>
        <w:gridCol w:w="2625"/>
        <w:gridCol w:w="840"/>
        <w:gridCol w:w="2010"/>
      </w:tblGrid>
      <w:tr w14:paraId="5DBC5BB9">
        <w:trPr>
          <w:trHeight w:val="312" w:hRule="atLeast"/>
          <w:jc w:val="center"/>
        </w:trPr>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F36B64">
            <w:pPr>
              <w:pStyle w:val="style0"/>
              <w:keepNext w:val="false"/>
              <w:keepLines w:val="false"/>
              <w:widowControl/>
              <w:suppressLineNumbers w:val="false"/>
              <w:jc w:val="center"/>
              <w:textAlignment w:val="center"/>
              <w:rPr>
                <w:rFonts w:ascii="仿宋" w:cs="仿宋" w:eastAsia="仿宋" w:hAnsi="仿宋"/>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二级学院</w:t>
            </w:r>
          </w:p>
        </w:tc>
        <w:tc>
          <w:tcPr>
            <w:tcW w:w="26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6BEC8C">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专业</w:t>
            </w: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093511C">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学制</w:t>
            </w:r>
          </w:p>
        </w:tc>
        <w:tc>
          <w:tcPr>
            <w:tcW w:w="20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A2A09C">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学费（元/年）</w:t>
            </w:r>
          </w:p>
        </w:tc>
      </w:tr>
      <w:tr w14:paraId="7C542246">
        <w:tblPrEx/>
        <w:trPr>
          <w:trHeight w:val="312"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078D052C">
            <w:pPr>
              <w:pStyle w:val="style0"/>
              <w:jc w:val="center"/>
              <w:rPr>
                <w:rFonts w:ascii="仿宋" w:cs="仿宋" w:eastAsia="仿宋" w:hAnsi="仿宋" w:hint="eastAsia"/>
                <w:b/>
                <w:bCs/>
                <w:i w:val="false"/>
                <w:iCs w:val="false"/>
                <w:color w:val="000000"/>
                <w:sz w:val="22"/>
                <w:szCs w:val="22"/>
                <w:highlight w:val="none"/>
                <w:u w:val="none"/>
              </w:rPr>
            </w:pPr>
          </w:p>
        </w:tc>
        <w:tc>
          <w:tcPr>
            <w:tcW w:w="262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046F9260">
            <w:pPr>
              <w:pStyle w:val="style0"/>
              <w:jc w:val="center"/>
              <w:rPr>
                <w:rFonts w:ascii="仿宋" w:cs="仿宋" w:eastAsia="仿宋" w:hAnsi="仿宋" w:hint="eastAsia"/>
                <w:b/>
                <w:bCs/>
                <w:i w:val="false"/>
                <w:iCs w:val="false"/>
                <w:color w:val="000000"/>
                <w:sz w:val="22"/>
                <w:szCs w:val="22"/>
                <w:highlight w:val="none"/>
                <w:u w:val="none"/>
              </w:rPr>
            </w:pPr>
          </w:p>
        </w:tc>
        <w:tc>
          <w:tcPr>
            <w:tcW w:w="840"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39CB0A04">
            <w:pPr>
              <w:pStyle w:val="style0"/>
              <w:jc w:val="center"/>
              <w:rPr>
                <w:rFonts w:ascii="仿宋" w:cs="仿宋" w:eastAsia="仿宋" w:hAnsi="仿宋" w:hint="eastAsia"/>
                <w:b/>
                <w:bCs/>
                <w:i w:val="false"/>
                <w:iCs w:val="false"/>
                <w:color w:val="000000"/>
                <w:sz w:val="22"/>
                <w:szCs w:val="22"/>
                <w:highlight w:val="none"/>
                <w:u w:val="none"/>
              </w:rPr>
            </w:pPr>
          </w:p>
        </w:tc>
        <w:tc>
          <w:tcPr>
            <w:tcW w:w="2010"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0ACCD7C2">
            <w:pPr>
              <w:pStyle w:val="style0"/>
              <w:jc w:val="center"/>
              <w:rPr>
                <w:rFonts w:ascii="仿宋" w:cs="仿宋" w:eastAsia="仿宋" w:hAnsi="仿宋" w:hint="eastAsia"/>
                <w:b/>
                <w:bCs/>
                <w:i w:val="false"/>
                <w:iCs w:val="false"/>
                <w:color w:val="000000"/>
                <w:sz w:val="22"/>
                <w:szCs w:val="22"/>
                <w:highlight w:val="none"/>
                <w:u w:val="none"/>
              </w:rPr>
            </w:pPr>
          </w:p>
        </w:tc>
      </w:tr>
      <w:tr w14:paraId="18082F46">
        <w:tblPrEx/>
        <w:trPr>
          <w:trHeight w:val="285" w:hRule="atLeast"/>
          <w:jc w:val="center"/>
        </w:trPr>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65E6F9">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8"/>
                <w:szCs w:val="28"/>
                <w:highlight w:val="none"/>
                <w:u w:val="none"/>
              </w:rPr>
            </w:pPr>
            <w:r>
              <w:rPr>
                <w:rFonts w:ascii="仿宋" w:cs="仿宋" w:eastAsia="仿宋" w:hAnsi="仿宋" w:hint="eastAsia"/>
                <w:b/>
                <w:bCs/>
                <w:i w:val="false"/>
                <w:iCs w:val="false"/>
                <w:color w:val="000000"/>
                <w:kern w:val="0"/>
                <w:sz w:val="28"/>
                <w:szCs w:val="28"/>
                <w:highlight w:val="none"/>
                <w:u w:val="none"/>
                <w:lang w:val="en-US" w:eastAsia="zh-CN"/>
              </w:rPr>
              <w:t>电梯工程学院</w:t>
            </w: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77B0C">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电梯工程技术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BEE356">
            <w:pPr>
              <w:pStyle w:val="style0"/>
              <w:keepNext w:val="false"/>
              <w:keepLines w:val="false"/>
              <w:widowControl/>
              <w:suppressLineNumbers w:val="false"/>
              <w:jc w:val="center"/>
              <w:textAlignment w:val="center"/>
              <w:rPr>
                <w:rFonts w:ascii="等线" w:cs="等线" w:eastAsia="等线" w:hAnsi="等线"/>
                <w:b/>
                <w:bCs/>
                <w:i w:val="false"/>
                <w:iCs w:val="false"/>
                <w:color w:val="000000"/>
                <w:sz w:val="22"/>
                <w:szCs w:val="22"/>
                <w:highlight w:val="none"/>
                <w:u w:val="none"/>
              </w:rPr>
            </w:pPr>
            <w:r>
              <w:rPr>
                <w:rFonts w:ascii="等线" w:cs="等线" w:eastAsia="等线" w:hAnsi="等线" w:hint="eastAsia"/>
                <w:b/>
                <w:bCs/>
                <w:i w:val="false"/>
                <w:iCs w:val="false"/>
                <w:color w:val="000000"/>
                <w:kern w:val="0"/>
                <w:sz w:val="22"/>
                <w:szCs w:val="22"/>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C212F">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5912E16C">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4B014523">
            <w:pPr>
              <w:pStyle w:val="style0"/>
              <w:jc w:val="center"/>
              <w:rPr>
                <w:rFonts w:ascii="仿宋" w:cs="仿宋" w:eastAsia="仿宋" w:hAnsi="仿宋" w:hint="eastAsia"/>
                <w:b/>
                <w:bCs/>
                <w:i w:val="false"/>
                <w:iCs w:val="false"/>
                <w:color w:val="000000"/>
                <w:sz w:val="28"/>
                <w:szCs w:val="28"/>
                <w:highlight w:val="none"/>
                <w:u w:val="none"/>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37D1A">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机电一体化技术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4B2186">
            <w:pPr>
              <w:pStyle w:val="style0"/>
              <w:keepNext w:val="false"/>
              <w:keepLines w:val="false"/>
              <w:widowControl/>
              <w:suppressLineNumbers w:val="false"/>
              <w:jc w:val="center"/>
              <w:textAlignment w:val="center"/>
              <w:rPr>
                <w:rFonts w:ascii="等线" w:cs="等线" w:eastAsia="等线" w:hAnsi="等线" w:hint="eastAsia"/>
                <w:b/>
                <w:bCs/>
                <w:i w:val="false"/>
                <w:iCs w:val="false"/>
                <w:color w:val="000000"/>
                <w:sz w:val="22"/>
                <w:szCs w:val="22"/>
                <w:highlight w:val="none"/>
                <w:u w:val="none"/>
              </w:rPr>
            </w:pPr>
            <w:r>
              <w:rPr>
                <w:rFonts w:ascii="等线" w:cs="等线" w:eastAsia="等线" w:hAnsi="等线" w:hint="eastAsia"/>
                <w:b/>
                <w:bCs/>
                <w:i w:val="false"/>
                <w:iCs w:val="false"/>
                <w:color w:val="000000"/>
                <w:kern w:val="0"/>
                <w:sz w:val="22"/>
                <w:szCs w:val="22"/>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E9DCC">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133C3580">
        <w:tblPrEx/>
        <w:trPr>
          <w:trHeight w:val="285" w:hRule="atLeast"/>
          <w:jc w:val="center"/>
        </w:trPr>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9C9AF5">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8"/>
                <w:szCs w:val="28"/>
                <w:highlight w:val="none"/>
                <w:u w:val="none"/>
              </w:rPr>
            </w:pPr>
            <w:r>
              <w:rPr>
                <w:rFonts w:ascii="仿宋" w:cs="仿宋" w:eastAsia="仿宋" w:hAnsi="仿宋" w:hint="eastAsia"/>
                <w:b/>
                <w:bCs/>
                <w:i w:val="false"/>
                <w:iCs w:val="false"/>
                <w:color w:val="000000"/>
                <w:kern w:val="0"/>
                <w:sz w:val="28"/>
                <w:szCs w:val="28"/>
                <w:highlight w:val="none"/>
                <w:u w:val="none"/>
                <w:lang w:val="en-US" w:eastAsia="zh-CN"/>
              </w:rPr>
              <w:t>汽车与智能制造学院</w:t>
            </w: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20EE3">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汽车检测与维修技术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9A72E3">
            <w:pPr>
              <w:pStyle w:val="style0"/>
              <w:keepNext w:val="false"/>
              <w:keepLines w:val="false"/>
              <w:widowControl/>
              <w:suppressLineNumbers w:val="false"/>
              <w:jc w:val="center"/>
              <w:textAlignment w:val="center"/>
              <w:rPr>
                <w:rFonts w:ascii="等线" w:cs="等线" w:eastAsia="等线" w:hAnsi="等线" w:hint="eastAsia"/>
                <w:b/>
                <w:bCs/>
                <w:i w:val="false"/>
                <w:iCs w:val="false"/>
                <w:color w:val="000000"/>
                <w:sz w:val="22"/>
                <w:szCs w:val="22"/>
                <w:highlight w:val="none"/>
                <w:u w:val="none"/>
              </w:rPr>
            </w:pPr>
            <w:r>
              <w:rPr>
                <w:rFonts w:ascii="等线" w:cs="等线" w:eastAsia="等线" w:hAnsi="等线" w:hint="eastAsia"/>
                <w:b/>
                <w:bCs/>
                <w:i w:val="false"/>
                <w:iCs w:val="false"/>
                <w:color w:val="000000"/>
                <w:kern w:val="0"/>
                <w:sz w:val="22"/>
                <w:szCs w:val="22"/>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D55C3">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48A3815E">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22025097">
            <w:pPr>
              <w:pStyle w:val="style0"/>
              <w:jc w:val="center"/>
              <w:rPr>
                <w:rFonts w:ascii="仿宋" w:cs="仿宋" w:eastAsia="仿宋" w:hAnsi="仿宋" w:hint="eastAsia"/>
                <w:b/>
                <w:bCs/>
                <w:i w:val="false"/>
                <w:iCs w:val="false"/>
                <w:color w:val="000000"/>
                <w:sz w:val="28"/>
                <w:szCs w:val="28"/>
                <w:highlight w:val="none"/>
                <w:u w:val="none"/>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E79E1">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新能源汽车技术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2AC1CD">
            <w:pPr>
              <w:pStyle w:val="style0"/>
              <w:keepNext w:val="false"/>
              <w:keepLines w:val="false"/>
              <w:widowControl/>
              <w:suppressLineNumbers w:val="false"/>
              <w:jc w:val="center"/>
              <w:textAlignment w:val="center"/>
              <w:rPr>
                <w:rFonts w:ascii="等线" w:cs="等线" w:eastAsia="等线" w:hAnsi="等线" w:hint="eastAsia"/>
                <w:b/>
                <w:bCs/>
                <w:i w:val="false"/>
                <w:iCs w:val="false"/>
                <w:color w:val="000000"/>
                <w:sz w:val="22"/>
                <w:szCs w:val="22"/>
                <w:highlight w:val="none"/>
                <w:u w:val="none"/>
              </w:rPr>
            </w:pPr>
            <w:r>
              <w:rPr>
                <w:rFonts w:ascii="等线" w:cs="等线" w:eastAsia="等线" w:hAnsi="等线" w:hint="eastAsia"/>
                <w:b/>
                <w:bCs/>
                <w:i w:val="false"/>
                <w:iCs w:val="false"/>
                <w:color w:val="000000"/>
                <w:kern w:val="0"/>
                <w:sz w:val="22"/>
                <w:szCs w:val="22"/>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38E5E">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188C6727">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4338B67E">
            <w:pPr>
              <w:pStyle w:val="style0"/>
              <w:jc w:val="center"/>
              <w:rPr>
                <w:rFonts w:ascii="仿宋" w:cs="仿宋" w:eastAsia="仿宋" w:hAnsi="仿宋" w:hint="eastAsia"/>
                <w:b/>
                <w:bCs/>
                <w:i w:val="false"/>
                <w:iCs w:val="false"/>
                <w:color w:val="000000"/>
                <w:sz w:val="28"/>
                <w:szCs w:val="28"/>
                <w:highlight w:val="none"/>
                <w:u w:val="none"/>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1919EB">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工业机器人技术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5DFEE9">
            <w:pPr>
              <w:pStyle w:val="style0"/>
              <w:keepNext w:val="false"/>
              <w:keepLines w:val="false"/>
              <w:widowControl/>
              <w:suppressLineNumbers w:val="false"/>
              <w:jc w:val="center"/>
              <w:textAlignment w:val="center"/>
              <w:rPr>
                <w:rFonts w:ascii="等线" w:cs="等线" w:eastAsia="等线" w:hAnsi="等线" w:hint="eastAsia"/>
                <w:b/>
                <w:bCs/>
                <w:i w:val="false"/>
                <w:iCs w:val="false"/>
                <w:color w:val="000000"/>
                <w:sz w:val="22"/>
                <w:szCs w:val="22"/>
                <w:highlight w:val="none"/>
                <w:u w:val="none"/>
              </w:rPr>
            </w:pPr>
            <w:r>
              <w:rPr>
                <w:rFonts w:ascii="等线" w:cs="等线" w:eastAsia="等线" w:hAnsi="等线" w:hint="eastAsia"/>
                <w:b/>
                <w:bCs/>
                <w:i w:val="false"/>
                <w:iCs w:val="false"/>
                <w:color w:val="000000"/>
                <w:kern w:val="0"/>
                <w:sz w:val="22"/>
                <w:szCs w:val="22"/>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E1ED2">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48345DF5">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3A0EBAF4">
            <w:pPr>
              <w:pStyle w:val="style0"/>
              <w:jc w:val="center"/>
              <w:rPr>
                <w:rFonts w:ascii="仿宋" w:cs="仿宋" w:eastAsia="仿宋" w:hAnsi="仿宋" w:hint="eastAsia"/>
                <w:b/>
                <w:bCs/>
                <w:i w:val="false"/>
                <w:iCs w:val="false"/>
                <w:color w:val="000000"/>
                <w:sz w:val="28"/>
                <w:szCs w:val="28"/>
                <w:highlight w:val="none"/>
                <w:u w:val="none"/>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ADDAE">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智能网联汽车技术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414C43">
            <w:pPr>
              <w:pStyle w:val="style0"/>
              <w:keepNext w:val="false"/>
              <w:keepLines w:val="false"/>
              <w:widowControl/>
              <w:suppressLineNumbers w:val="false"/>
              <w:jc w:val="center"/>
              <w:textAlignment w:val="center"/>
              <w:rPr>
                <w:rFonts w:ascii="等线" w:cs="等线" w:eastAsia="等线" w:hAnsi="等线" w:hint="eastAsia"/>
                <w:b/>
                <w:bCs/>
                <w:i w:val="false"/>
                <w:iCs w:val="false"/>
                <w:color w:val="000000"/>
                <w:sz w:val="22"/>
                <w:szCs w:val="22"/>
                <w:highlight w:val="none"/>
                <w:u w:val="none"/>
              </w:rPr>
            </w:pPr>
            <w:r>
              <w:rPr>
                <w:rFonts w:ascii="等线" w:cs="等线" w:eastAsia="等线" w:hAnsi="等线" w:hint="eastAsia"/>
                <w:b/>
                <w:bCs/>
                <w:i w:val="false"/>
                <w:iCs w:val="false"/>
                <w:color w:val="000000"/>
                <w:kern w:val="0"/>
                <w:sz w:val="22"/>
                <w:szCs w:val="22"/>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7DD00">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4226DC49">
        <w:tblPrEx/>
        <w:trPr>
          <w:trHeight w:val="285" w:hRule="atLeast"/>
          <w:jc w:val="center"/>
        </w:trPr>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4376D7">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8"/>
                <w:szCs w:val="28"/>
                <w:highlight w:val="none"/>
                <w:u w:val="none"/>
              </w:rPr>
            </w:pPr>
            <w:r>
              <w:rPr>
                <w:rFonts w:ascii="仿宋" w:cs="仿宋" w:eastAsia="仿宋" w:hAnsi="仿宋" w:hint="eastAsia"/>
                <w:b/>
                <w:bCs/>
                <w:i w:val="false"/>
                <w:iCs w:val="false"/>
                <w:color w:val="000000"/>
                <w:kern w:val="0"/>
                <w:sz w:val="28"/>
                <w:szCs w:val="28"/>
                <w:highlight w:val="none"/>
                <w:u w:val="none"/>
                <w:lang w:val="en-US" w:eastAsia="zh-CN"/>
              </w:rPr>
              <w:t>信息技术学院</w:t>
            </w: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83767">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计算机网络技术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8E3EB">
            <w:pPr>
              <w:pStyle w:val="style0"/>
              <w:keepNext w:val="false"/>
              <w:keepLines w:val="false"/>
              <w:widowControl/>
              <w:suppressLineNumbers w:val="false"/>
              <w:jc w:val="center"/>
              <w:textAlignment w:val="center"/>
              <w:rPr>
                <w:rFonts w:ascii="等线" w:cs="等线" w:eastAsia="等线" w:hAnsi="等线" w:hint="eastAsia"/>
                <w:b/>
                <w:bCs/>
                <w:i w:val="false"/>
                <w:iCs w:val="false"/>
                <w:color w:val="000000"/>
                <w:sz w:val="22"/>
                <w:szCs w:val="22"/>
                <w:highlight w:val="none"/>
                <w:u w:val="none"/>
              </w:rPr>
            </w:pPr>
            <w:r>
              <w:rPr>
                <w:rFonts w:ascii="等线" w:cs="等线" w:eastAsia="等线" w:hAnsi="等线" w:hint="eastAsia"/>
                <w:b/>
                <w:bCs/>
                <w:i w:val="false"/>
                <w:iCs w:val="false"/>
                <w:color w:val="000000"/>
                <w:kern w:val="0"/>
                <w:sz w:val="22"/>
                <w:szCs w:val="22"/>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DBEF5">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8580</w:t>
            </w:r>
          </w:p>
        </w:tc>
      </w:tr>
      <w:tr w14:paraId="6E8BD6A7">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0D43B0D2">
            <w:pPr>
              <w:pStyle w:val="style0"/>
              <w:jc w:val="center"/>
              <w:rPr>
                <w:rFonts w:ascii="仿宋" w:cs="仿宋" w:eastAsia="仿宋" w:hAnsi="仿宋" w:hint="eastAsia"/>
                <w:b/>
                <w:bCs/>
                <w:i w:val="false"/>
                <w:iCs w:val="false"/>
                <w:color w:val="000000"/>
                <w:sz w:val="28"/>
                <w:szCs w:val="28"/>
                <w:highlight w:val="none"/>
                <w:u w:val="none"/>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319E5">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计算机应用技术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C17EFA">
            <w:pPr>
              <w:pStyle w:val="style0"/>
              <w:keepNext w:val="false"/>
              <w:keepLines w:val="false"/>
              <w:widowControl/>
              <w:suppressLineNumbers w:val="false"/>
              <w:jc w:val="center"/>
              <w:textAlignment w:val="center"/>
              <w:rPr>
                <w:rFonts w:ascii="等线" w:cs="等线" w:eastAsia="等线" w:hAnsi="等线" w:hint="eastAsia"/>
                <w:b/>
                <w:bCs/>
                <w:i w:val="false"/>
                <w:iCs w:val="false"/>
                <w:color w:val="000000"/>
                <w:sz w:val="22"/>
                <w:szCs w:val="22"/>
                <w:highlight w:val="none"/>
                <w:u w:val="none"/>
              </w:rPr>
            </w:pPr>
            <w:r>
              <w:rPr>
                <w:rFonts w:ascii="等线" w:cs="等线" w:eastAsia="等线" w:hAnsi="等线" w:hint="eastAsia"/>
                <w:b/>
                <w:bCs/>
                <w:i w:val="false"/>
                <w:iCs w:val="false"/>
                <w:color w:val="000000"/>
                <w:kern w:val="0"/>
                <w:sz w:val="22"/>
                <w:szCs w:val="22"/>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EAE06">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r w14:paraId="66F71D6A">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1BE7242E">
            <w:pPr>
              <w:pStyle w:val="style0"/>
              <w:jc w:val="center"/>
              <w:rPr>
                <w:rFonts w:ascii="仿宋" w:cs="仿宋" w:eastAsia="仿宋" w:hAnsi="仿宋" w:hint="eastAsia"/>
                <w:b/>
                <w:bCs/>
                <w:i w:val="false"/>
                <w:iCs w:val="false"/>
                <w:color w:val="000000"/>
                <w:sz w:val="28"/>
                <w:szCs w:val="28"/>
                <w:highlight w:val="none"/>
                <w:u w:val="none"/>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D501B">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软件技术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489CFF">
            <w:pPr>
              <w:pStyle w:val="style0"/>
              <w:keepNext w:val="false"/>
              <w:keepLines w:val="false"/>
              <w:widowControl/>
              <w:suppressLineNumbers w:val="false"/>
              <w:jc w:val="center"/>
              <w:textAlignment w:val="center"/>
              <w:rPr>
                <w:rFonts w:ascii="等线" w:cs="等线" w:eastAsia="等线" w:hAnsi="等线" w:hint="eastAsia"/>
                <w:b/>
                <w:bCs/>
                <w:i w:val="false"/>
                <w:iCs w:val="false"/>
                <w:color w:val="000000"/>
                <w:sz w:val="22"/>
                <w:szCs w:val="22"/>
                <w:highlight w:val="none"/>
                <w:u w:val="none"/>
              </w:rPr>
            </w:pPr>
            <w:r>
              <w:rPr>
                <w:rFonts w:ascii="等线" w:cs="等线" w:eastAsia="等线" w:hAnsi="等线" w:hint="eastAsia"/>
                <w:b/>
                <w:bCs/>
                <w:i w:val="false"/>
                <w:iCs w:val="false"/>
                <w:color w:val="000000"/>
                <w:kern w:val="0"/>
                <w:sz w:val="22"/>
                <w:szCs w:val="22"/>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933A0">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8580</w:t>
            </w:r>
          </w:p>
        </w:tc>
      </w:tr>
      <w:tr w14:paraId="3143046B">
        <w:tblPrEx/>
        <w:trPr>
          <w:trHeight w:val="285" w:hRule="atLeast"/>
          <w:jc w:val="center"/>
        </w:trPr>
        <w:tc>
          <w:tcPr>
            <w:tcW w:w="199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14:paraId="400B32F2">
            <w:pPr>
              <w:pStyle w:val="style0"/>
              <w:jc w:val="center"/>
              <w:rPr>
                <w:rFonts w:ascii="仿宋" w:cs="仿宋" w:eastAsia="仿宋" w:hAnsi="仿宋" w:hint="eastAsia"/>
                <w:b/>
                <w:bCs/>
                <w:i w:val="false"/>
                <w:iCs w:val="false"/>
                <w:color w:val="000000"/>
                <w:sz w:val="28"/>
                <w:szCs w:val="28"/>
                <w:highlight w:val="none"/>
                <w:u w:val="none"/>
              </w:rPr>
            </w:pPr>
          </w:p>
        </w:tc>
        <w:tc>
          <w:tcPr>
            <w:tcW w:w="26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5D38B">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4"/>
                <w:szCs w:val="24"/>
                <w:highlight w:val="none"/>
                <w:u w:val="none"/>
              </w:rPr>
            </w:pPr>
            <w:r>
              <w:rPr>
                <w:rFonts w:ascii="仿宋" w:cs="仿宋" w:eastAsia="仿宋" w:hAnsi="仿宋" w:hint="eastAsia"/>
                <w:b/>
                <w:bCs/>
                <w:i w:val="false"/>
                <w:iCs w:val="false"/>
                <w:color w:val="000000"/>
                <w:kern w:val="0"/>
                <w:sz w:val="24"/>
                <w:szCs w:val="24"/>
                <w:highlight w:val="none"/>
                <w:u w:val="none"/>
                <w:lang w:val="en-US" w:eastAsia="zh-CN"/>
              </w:rPr>
              <w:t>信息安全技术应用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8C1ADB">
            <w:pPr>
              <w:pStyle w:val="style0"/>
              <w:keepNext w:val="false"/>
              <w:keepLines w:val="false"/>
              <w:widowControl/>
              <w:suppressLineNumbers w:val="false"/>
              <w:jc w:val="center"/>
              <w:textAlignment w:val="center"/>
              <w:rPr>
                <w:rFonts w:ascii="等线" w:cs="等线" w:eastAsia="等线" w:hAnsi="等线" w:hint="eastAsia"/>
                <w:b/>
                <w:bCs/>
                <w:i w:val="false"/>
                <w:iCs w:val="false"/>
                <w:color w:val="000000"/>
                <w:sz w:val="22"/>
                <w:szCs w:val="22"/>
                <w:highlight w:val="none"/>
                <w:u w:val="none"/>
              </w:rPr>
            </w:pPr>
            <w:r>
              <w:rPr>
                <w:rFonts w:ascii="等线" w:cs="等线" w:eastAsia="等线" w:hAnsi="等线" w:hint="eastAsia"/>
                <w:b/>
                <w:bCs/>
                <w:i w:val="false"/>
                <w:iCs w:val="false"/>
                <w:color w:val="000000"/>
                <w:kern w:val="0"/>
                <w:sz w:val="22"/>
                <w:szCs w:val="22"/>
                <w:highlight w:val="none"/>
                <w:u w:val="none"/>
                <w:lang w:val="en-US" w:eastAsia="zh-CN"/>
              </w:rPr>
              <w:t>三年</w:t>
            </w:r>
          </w:p>
        </w:tc>
        <w:tc>
          <w:tcPr>
            <w:tcW w:w="2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FE3DC">
            <w:pPr>
              <w:pStyle w:val="style0"/>
              <w:keepNext w:val="false"/>
              <w:keepLines w:val="false"/>
              <w:widowControl/>
              <w:suppressLineNumbers w:val="false"/>
              <w:jc w:val="center"/>
              <w:textAlignment w:val="center"/>
              <w:rPr>
                <w:rFonts w:ascii="仿宋" w:cs="仿宋" w:eastAsia="仿宋" w:hAnsi="仿宋" w:hint="eastAsia"/>
                <w:b/>
                <w:bCs/>
                <w:i w:val="false"/>
                <w:iCs w:val="false"/>
                <w:color w:val="000000"/>
                <w:sz w:val="22"/>
                <w:szCs w:val="22"/>
                <w:highlight w:val="none"/>
                <w:u w:val="none"/>
              </w:rPr>
            </w:pPr>
            <w:r>
              <w:rPr>
                <w:rFonts w:ascii="仿宋" w:cs="仿宋" w:eastAsia="仿宋" w:hAnsi="仿宋" w:hint="eastAsia"/>
                <w:b/>
                <w:bCs/>
                <w:i w:val="false"/>
                <w:iCs w:val="false"/>
                <w:color w:val="000000"/>
                <w:kern w:val="0"/>
                <w:sz w:val="22"/>
                <w:szCs w:val="22"/>
                <w:highlight w:val="none"/>
                <w:u w:val="none"/>
                <w:lang w:val="en-US" w:eastAsia="zh-CN"/>
              </w:rPr>
              <w:t>5060</w:t>
            </w:r>
          </w:p>
        </w:tc>
      </w:tr>
    </w:tbl>
    <w:p w14:paraId="19093806">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 xml:space="preserve">第十三条  单列计划及专业说明。根据省教育厅政策规定，单列 </w:t>
      </w:r>
      <w:bookmarkStart w:id="0" w:name="_GoBack"/>
      <w:bookmarkEnd w:id="0"/>
      <w:r>
        <w:rPr>
          <w:rFonts w:ascii="仿宋" w:cs="仿宋" w:eastAsia="仿宋" w:hAnsi="仿宋" w:hint="eastAsia"/>
          <w:sz w:val="28"/>
          <w:szCs w:val="28"/>
          <w:highlight w:val="none"/>
        </w:rPr>
        <w:t>计划纳入我院单招总计划，且均包含在各相关专业的招生计划内，未录满的计划自动转为普通类计划。</w:t>
      </w:r>
    </w:p>
    <w:p w14:paraId="133931FC">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1.退役军人计划15人，考生可在上表专业范围内自行选择报考，但每个专业最多录取2人。</w:t>
      </w:r>
    </w:p>
    <w:p w14:paraId="5BA14DEB">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2.体育特长生招生计划20人，考生可在上表单招专业范围内自行选择报考专业，但每个专业最多录取特长生2人。</w:t>
      </w:r>
    </w:p>
    <w:p w14:paraId="0C276C81">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第十四条 学院在考试结束后，以实际参考人数为基数，按比例确定各专业不同类别考生的计划数。学院各专业各类别计划确定并公布后，一律不调整和追加。单招未完成的计划转为统招计划使用。</w:t>
      </w:r>
    </w:p>
    <w:p w14:paraId="28BA3B16">
      <w:pPr>
        <w:pStyle w:val="style66"/>
        <w:widowControl/>
        <w:kinsoku w:val="false"/>
        <w:autoSpaceDE w:val="false"/>
        <w:autoSpaceDN w:val="false"/>
        <w:adjustRightInd w:val="false"/>
        <w:snapToGrid w:val="false"/>
        <w:spacing w:before="101" w:lineRule="auto" w:line="228"/>
        <w:jc w:val="center"/>
        <w:textAlignment w:val="baseline"/>
        <w:rPr>
          <w:rFonts w:hint="eastAsia"/>
          <w:snapToGrid w:val="false"/>
          <w:color w:val="000000"/>
          <w:spacing w:val="-6"/>
          <w:kern w:val="0"/>
          <w:sz w:val="31"/>
          <w:szCs w:val="31"/>
          <w:highlight w:val="none"/>
          <w14:textOutline w14:w="5793" w14:cmpd="sng" w14:cap="sq">
            <w14:solidFill>
              <w14:srgbClr w14:val="000000"/>
            </w14:solidFill>
            <w14:prstDash w14:val="solid"/>
            <w14:bevel/>
          </w14:textOutline>
        </w:rPr>
      </w:pPr>
      <w:r>
        <w:rPr>
          <w:rFonts w:hint="eastAsia"/>
          <w:snapToGrid w:val="false"/>
          <w:color w:val="000000"/>
          <w:spacing w:val="-6"/>
          <w:kern w:val="0"/>
          <w:sz w:val="31"/>
          <w:szCs w:val="31"/>
          <w:highlight w:val="none"/>
          <w14:textOutline w14:w="5793" w14:cmpd="sng" w14:cap="sq">
            <w14:solidFill>
              <w14:srgbClr w14:val="000000"/>
            </w14:solidFill>
            <w14:prstDash w14:val="solid"/>
            <w14:bevel/>
          </w14:textOutline>
        </w:rPr>
        <w:t>第五章 单招考试</w:t>
      </w:r>
    </w:p>
    <w:p w14:paraId="5D053563">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第十五条 学院将本着公平、公正、择优录取的原则，按照国家教育考试相关规定，在省教育厅、省教育考试院的指导和监督下组织单招考试的相关工作。</w:t>
      </w:r>
    </w:p>
    <w:p w14:paraId="66A909B7">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第十六条 参加学院今年单招的考生分为应届普通高中毕业考生 （具有</w:t>
      </w:r>
      <w:r>
        <w:rPr>
          <w:rFonts w:ascii="仿宋" w:cs="仿宋" w:eastAsia="仿宋" w:hAnsi="仿宋" w:hint="eastAsia"/>
          <w:sz w:val="28"/>
          <w:szCs w:val="28"/>
          <w:highlight w:val="none"/>
          <w:lang w:val="en-US" w:eastAsia="zh-CN"/>
        </w:rPr>
        <w:t>2024</w:t>
      </w:r>
      <w:r>
        <w:rPr>
          <w:rFonts w:ascii="仿宋" w:cs="仿宋" w:eastAsia="仿宋" w:hAnsi="仿宋" w:hint="eastAsia"/>
          <w:sz w:val="28"/>
          <w:szCs w:val="28"/>
          <w:highlight w:val="none"/>
        </w:rPr>
        <w:t>年普通高中学业水平合格性考试</w:t>
      </w:r>
      <w:r>
        <w:rPr>
          <w:rFonts w:ascii="仿宋" w:cs="仿宋" w:eastAsia="仿宋" w:hAnsi="仿宋" w:hint="eastAsia"/>
          <w:sz w:val="28"/>
          <w:szCs w:val="28"/>
          <w:highlight w:val="none"/>
          <w:lang w:val="en-US" w:eastAsia="zh-CN"/>
        </w:rPr>
        <w:t>语文、数学、外语三科</w:t>
      </w:r>
      <w:r>
        <w:rPr>
          <w:rFonts w:ascii="仿宋" w:cs="仿宋" w:eastAsia="仿宋" w:hAnsi="仿宋" w:hint="eastAsia"/>
          <w:sz w:val="28"/>
          <w:szCs w:val="28"/>
          <w:highlight w:val="none"/>
        </w:rPr>
        <w:t>有效成绩）、中职考生和往届普通高中考生及同等学力考生（含普通高中学业水平合格性考试</w:t>
      </w:r>
      <w:r>
        <w:rPr>
          <w:rFonts w:ascii="仿宋" w:cs="仿宋" w:eastAsia="仿宋" w:hAnsi="仿宋" w:hint="eastAsia"/>
          <w:sz w:val="28"/>
          <w:szCs w:val="28"/>
          <w:highlight w:val="none"/>
          <w:lang w:val="en-US" w:eastAsia="zh-CN"/>
        </w:rPr>
        <w:t>语文、数学、外语三科</w:t>
      </w:r>
      <w:r>
        <w:rPr>
          <w:rFonts w:ascii="仿宋" w:cs="仿宋" w:eastAsia="仿宋" w:hAnsi="仿宋" w:hint="eastAsia"/>
          <w:sz w:val="28"/>
          <w:szCs w:val="28"/>
          <w:highlight w:val="none"/>
        </w:rPr>
        <w:t>有效成绩不全的应届普通高中考生）、退役军人、体育特长生四个</w:t>
      </w:r>
    </w:p>
    <w:p w14:paraId="73F4F4E2">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大类</w:t>
      </w:r>
    </w:p>
    <w:p w14:paraId="51643C6D">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第十七条 按照“文化素质+职业技能”方式，分类组织考试。</w:t>
      </w:r>
    </w:p>
    <w:p w14:paraId="4516488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根据考生的类别，考试按以下方式进行。</w:t>
      </w:r>
    </w:p>
    <w:p w14:paraId="46376ED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1.第一类：应届普通高中毕业考生。文化素质测试成绩以学生取得的高中学业水平合格性考试语文、数学、外语三门科目有效成绩代 替。职业技能测试由学校组织，学院分专业组，按照人才培养需要，</w:t>
      </w:r>
    </w:p>
    <w:p w14:paraId="5ED2957E">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采取笔试方式进行，重点考察学生的职业适应性。</w:t>
      </w:r>
    </w:p>
    <w:p w14:paraId="2D01706F">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2.第二类：中职考生和往届普通高中考生及同等学力考生。文化 素质测试由学院依据《中等职业学校公共基础课课程标准》及高中教 育阶段语文、数学、英语等有关内容进行命题及考试。职业技能测试 由学院组织，学院分专业组，按照人才培养需要，采取笔试方式进行，重点考察学生的职业技能。</w:t>
      </w:r>
    </w:p>
    <w:p w14:paraId="39B56F8E">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3.第三类：退役军人。退役军人考生免予文化素质测试。职业技 能测试由学院组织，按照人才培养需要，采取笔试方式进行，重点考察学生的职业适应性。</w:t>
      </w:r>
    </w:p>
    <w:p w14:paraId="404EDBEB">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4.第四类：体育特长生。文化素质测试根据学生类别不同，分别 采取上述第一类或第二类的方式进行。职业技能测试成绩以体育专项测试成绩代替，专项测试按照《邵阳职业技术学院</w:t>
      </w:r>
      <w:r>
        <w:rPr>
          <w:rFonts w:ascii="仿宋" w:cs="仿宋" w:eastAsia="仿宋" w:hAnsi="仿宋" w:hint="eastAsia"/>
          <w:sz w:val="28"/>
          <w:szCs w:val="28"/>
          <w:highlight w:val="none"/>
          <w:lang w:val="en-US" w:eastAsia="zh-CN"/>
        </w:rPr>
        <w:t>2025</w:t>
      </w:r>
      <w:r>
        <w:rPr>
          <w:rFonts w:ascii="仿宋" w:cs="仿宋" w:eastAsia="仿宋" w:hAnsi="仿宋" w:hint="eastAsia"/>
          <w:sz w:val="28"/>
          <w:szCs w:val="28"/>
          <w:highlight w:val="none"/>
        </w:rPr>
        <w:t>年体育特长生高职单招方案》执行。</w:t>
      </w:r>
    </w:p>
    <w:p w14:paraId="2ED082C6">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第十八条 考生的综合成绩为文化素质成绩+职业技能成绩。上述第一类、第二类、第四类考生的高职单招综合成绩（总成绩）满分为 600分，第三类考生的综合成绩满分为300分。其中，对于报考我院第一类、第二类考生，文化素质成绩与职业技能成绩占比为1：1， 即分别各占300分；第四类考生文化素质成绩与专项技能成绩占比为1：1，即文化素质总成绩和职业技能测试总成绩分别换算为300分、300分。</w:t>
      </w:r>
    </w:p>
    <w:p w14:paraId="5C1F0669">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第十九条  我院将按照分类考试的原则，对不同专业组的职业技能测试分别进行命题。我院文化素质测试、职业技能测试的有关说明、考试范围等，将在我院官网上进行公布。</w:t>
      </w:r>
    </w:p>
    <w:p w14:paraId="27161D74">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第二十条  符合以下免试条件的考生在单招考试前向学院申请。 其中，职业技能特长申请免技能测试的考生，须在 202</w:t>
      </w:r>
      <w:r>
        <w:rPr>
          <w:rFonts w:ascii="仿宋" w:cs="仿宋" w:eastAsia="仿宋" w:hAnsi="仿宋" w:hint="eastAsia"/>
          <w:sz w:val="28"/>
          <w:szCs w:val="28"/>
          <w:highlight w:val="none"/>
          <w:lang w:val="en-US" w:eastAsia="zh-CN"/>
        </w:rPr>
        <w:t>5</w:t>
      </w:r>
      <w:r>
        <w:rPr>
          <w:rFonts w:ascii="仿宋" w:cs="仿宋" w:eastAsia="仿宋" w:hAnsi="仿宋" w:hint="eastAsia"/>
          <w:sz w:val="28"/>
          <w:szCs w:val="28"/>
          <w:highlight w:val="none"/>
        </w:rPr>
        <w:t>年2月</w:t>
      </w:r>
      <w:r>
        <w:rPr>
          <w:rFonts w:ascii="仿宋" w:cs="仿宋" w:eastAsia="仿宋" w:hAnsi="仿宋" w:hint="eastAsia"/>
          <w:sz w:val="28"/>
          <w:szCs w:val="28"/>
          <w:highlight w:val="none"/>
          <w:lang w:val="en-US" w:eastAsia="zh-CN"/>
        </w:rPr>
        <w:t>18</w:t>
      </w:r>
      <w:r>
        <w:rPr>
          <w:rFonts w:ascii="仿宋" w:cs="仿宋" w:eastAsia="仿宋" w:hAnsi="仿宋" w:hint="eastAsia"/>
          <w:sz w:val="28"/>
          <w:szCs w:val="28"/>
          <w:highlight w:val="none"/>
        </w:rPr>
        <w:t>日到</w:t>
      </w:r>
      <w:r>
        <w:rPr>
          <w:rFonts w:ascii="仿宋" w:cs="仿宋" w:eastAsia="仿宋" w:hAnsi="仿宋" w:hint="eastAsia"/>
          <w:sz w:val="28"/>
          <w:szCs w:val="28"/>
          <w:highlight w:val="none"/>
          <w:lang w:val="en-US" w:eastAsia="zh-CN"/>
        </w:rPr>
        <w:t>2</w:t>
      </w:r>
      <w:r>
        <w:rPr>
          <w:rFonts w:ascii="仿宋" w:cs="仿宋" w:eastAsia="仿宋" w:hAnsi="仿宋" w:hint="eastAsia"/>
          <w:sz w:val="28"/>
          <w:szCs w:val="28"/>
          <w:highlight w:val="none"/>
        </w:rPr>
        <w:t>月</w:t>
      </w:r>
      <w:r>
        <w:rPr>
          <w:rFonts w:ascii="仿宋" w:cs="仿宋" w:eastAsia="仿宋" w:hAnsi="仿宋" w:hint="eastAsia"/>
          <w:sz w:val="28"/>
          <w:szCs w:val="28"/>
          <w:highlight w:val="none"/>
          <w:lang w:val="en-US" w:eastAsia="zh-CN"/>
        </w:rPr>
        <w:t>2</w:t>
      </w:r>
      <w:r>
        <w:rPr>
          <w:rFonts w:ascii="仿宋" w:cs="仿宋" w:eastAsia="仿宋" w:hAnsi="仿宋" w:hint="default"/>
          <w:sz w:val="28"/>
          <w:szCs w:val="28"/>
          <w:highlight w:val="none"/>
          <w:lang w:val="en-US" w:eastAsia="zh-CN"/>
        </w:rPr>
        <w:t>4</w:t>
      </w:r>
      <w:r>
        <w:rPr>
          <w:rFonts w:ascii="仿宋" w:cs="仿宋" w:eastAsia="仿宋" w:hAnsi="仿宋" w:hint="eastAsia"/>
          <w:sz w:val="28"/>
          <w:szCs w:val="28"/>
          <w:highlight w:val="none"/>
        </w:rPr>
        <w:t>日之间，通过网上提交方式，将本人身份证、获奖证书等相关材料的扫描件发邮箱</w:t>
      </w:r>
      <w:r>
        <w:rPr>
          <w:rFonts w:ascii="Segoe UI" w:cs="Segoe UI" w:eastAsia="Segoe UI" w:hAnsi="Segoe UI"/>
          <w:i w:val="false"/>
          <w:iCs w:val="false"/>
          <w:caps w:val="false"/>
          <w:color w:val="21293a"/>
          <w:spacing w:val="0"/>
          <w:sz w:val="24"/>
          <w:szCs w:val="24"/>
          <w:highlight w:val="none"/>
          <w:shd w:val="clear" w:color="auto" w:fill="ffffff"/>
        </w:rPr>
        <w:t>syzyzjc@126.com</w:t>
      </w:r>
      <w:r>
        <w:rPr>
          <w:rFonts w:ascii="仿宋" w:cs="仿宋" w:eastAsia="仿宋" w:hAnsi="仿宋" w:hint="eastAsia"/>
          <w:sz w:val="28"/>
          <w:szCs w:val="28"/>
          <w:highlight w:val="none"/>
        </w:rPr>
        <w:t>，由我院的招生就业指导处、教务科研处、纪检监察室联合会审。免试直接录取的考生不占用单招计划数，使用我院统招计划，在统招录取前完成录取手续办理，有关审核程序和方法由省教育考试院另行规定。</w:t>
      </w:r>
    </w:p>
    <w:p w14:paraId="7947098F">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1.免试直接录取。根据教育部政策规定，中等职业教育应届毕业生，在校期间在世界技能组织主办的“世界技能大赛（World Skills Competition） ”中获奖的中国国家代表队选手可保送至高职院校与 获奖赛事相应的专业就读，在校期间获“</w:t>
      </w:r>
      <w:r>
        <w:rPr>
          <w:rFonts w:ascii="仿宋" w:cs="仿宋" w:eastAsia="仿宋" w:hAnsi="仿宋" w:hint="eastAsia"/>
          <w:sz w:val="28"/>
          <w:szCs w:val="28"/>
          <w:highlight w:val="none"/>
          <w:lang w:eastAsia="zh-CN"/>
        </w:rPr>
        <w:t>世界职业院校技能大赛‌</w:t>
      </w:r>
      <w:r>
        <w:rPr>
          <w:rFonts w:ascii="仿宋" w:cs="仿宋" w:eastAsia="仿宋" w:hAnsi="仿宋" w:hint="eastAsia"/>
          <w:sz w:val="28"/>
          <w:szCs w:val="28"/>
          <w:highlight w:val="none"/>
        </w:rPr>
        <w:t xml:space="preserve"> ”“中国职业技能大赛 ”一等奖、二等奖、三等奖或“湖南省职业技能大赛 ”“湖南省职业院校技能竞赛 ”一等奖（金牌）的，可免试录取到我校就读。</w:t>
      </w:r>
    </w:p>
    <w:p w14:paraId="7A98BA59">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2.职业技能特长生免技能测试。在校学习期间获“湖南省职业技能大赛”“湖南省职业院校技能竞赛 ”二等奖（银牌）、三等奖（铜 牌）的中职应届毕业生，报考获奖赛项对口专业可免予职业技能测试。 其中获得二等奖（银牌）的学生可按技能测试成绩满分计入综合成绩； 获得三等奖（铜牌）的学生可按技能测试成绩满分的80%计入综合成 绩，也可选择参加学校组织的技能测试取得测试成绩，取两项成绩的较高分数计入综合成绩。</w:t>
      </w:r>
    </w:p>
    <w:p w14:paraId="0E3EA34A">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3.免试考生的录取专业与其获奖赛项对应（考生如需跨专业报考，则不能享受免试政策）。</w:t>
      </w:r>
    </w:p>
    <w:p w14:paraId="7D10217A">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 xml:space="preserve">第二十一条 学院按一志愿、二志愿分别组织单招考试。第一志愿考试时间为 </w:t>
      </w:r>
      <w:r>
        <w:rPr>
          <w:rFonts w:ascii="仿宋" w:cs="仿宋" w:eastAsia="仿宋" w:hAnsi="仿宋" w:hint="eastAsia"/>
          <w:sz w:val="28"/>
          <w:szCs w:val="28"/>
          <w:highlight w:val="none"/>
          <w:lang w:eastAsia="zh-CN"/>
        </w:rPr>
        <w:t>2025</w:t>
      </w:r>
      <w:r>
        <w:rPr>
          <w:rFonts w:ascii="仿宋" w:cs="仿宋" w:eastAsia="仿宋" w:hAnsi="仿宋" w:hint="eastAsia"/>
          <w:sz w:val="28"/>
          <w:szCs w:val="28"/>
          <w:highlight w:val="none"/>
        </w:rPr>
        <w:t>年3月</w:t>
      </w:r>
      <w:r>
        <w:rPr>
          <w:rFonts w:ascii="仿宋" w:cs="仿宋" w:eastAsia="仿宋" w:hAnsi="仿宋" w:hint="eastAsia"/>
          <w:sz w:val="28"/>
          <w:szCs w:val="28"/>
          <w:highlight w:val="none"/>
          <w:lang w:val="en-US" w:eastAsia="zh-CN"/>
        </w:rPr>
        <w:t>8</w:t>
      </w:r>
      <w:r>
        <w:rPr>
          <w:rFonts w:ascii="仿宋" w:cs="仿宋" w:eastAsia="仿宋" w:hAnsi="仿宋" w:hint="eastAsia"/>
          <w:sz w:val="28"/>
          <w:szCs w:val="28"/>
          <w:highlight w:val="none"/>
        </w:rPr>
        <w:t xml:space="preserve">日。若第一志愿生源不足，未完成单招计划，我院将组织第二志愿考试，参考对象为第二志愿报考我院且未被第一志愿学校录取考生，时间为 </w:t>
      </w:r>
      <w:r>
        <w:rPr>
          <w:rFonts w:ascii="仿宋" w:cs="仿宋" w:eastAsia="仿宋" w:hAnsi="仿宋" w:hint="eastAsia"/>
          <w:sz w:val="28"/>
          <w:szCs w:val="28"/>
          <w:highlight w:val="none"/>
          <w:lang w:eastAsia="zh-CN"/>
        </w:rPr>
        <w:t>2025</w:t>
      </w:r>
      <w:r>
        <w:rPr>
          <w:rFonts w:ascii="仿宋" w:cs="仿宋" w:eastAsia="仿宋" w:hAnsi="仿宋" w:hint="eastAsia"/>
          <w:sz w:val="28"/>
          <w:szCs w:val="28"/>
          <w:highlight w:val="none"/>
        </w:rPr>
        <w:t>年4月</w:t>
      </w:r>
      <w:r>
        <w:rPr>
          <w:rFonts w:ascii="仿宋" w:cs="仿宋" w:eastAsia="仿宋" w:hAnsi="仿宋" w:hint="eastAsia"/>
          <w:sz w:val="28"/>
          <w:szCs w:val="28"/>
          <w:highlight w:val="none"/>
          <w:lang w:val="en-US" w:eastAsia="zh-CN"/>
        </w:rPr>
        <w:t>5</w:t>
      </w:r>
      <w:r>
        <w:rPr>
          <w:rFonts w:ascii="仿宋" w:cs="仿宋" w:eastAsia="仿宋" w:hAnsi="仿宋" w:hint="eastAsia"/>
          <w:sz w:val="28"/>
          <w:szCs w:val="28"/>
          <w:highlight w:val="none"/>
        </w:rPr>
        <w:t>日。各科目的具体考试时间及地点将在我院官网上另行公布。</w:t>
      </w:r>
    </w:p>
    <w:p w14:paraId="0BC1CE9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 xml:space="preserve">第二十二条 根据物价部门统一规定，高职单招的报考费为80元/生。报考我院第一志愿的考生费缴纳时间为 </w:t>
      </w:r>
      <w:r>
        <w:rPr>
          <w:rFonts w:ascii="仿宋" w:cs="仿宋" w:eastAsia="仿宋" w:hAnsi="仿宋" w:hint="eastAsia"/>
          <w:sz w:val="28"/>
          <w:szCs w:val="28"/>
          <w:highlight w:val="none"/>
          <w:lang w:eastAsia="zh-CN"/>
        </w:rPr>
        <w:t>2025</w:t>
      </w:r>
      <w:r>
        <w:rPr>
          <w:rFonts w:ascii="仿宋" w:cs="仿宋" w:eastAsia="仿宋" w:hAnsi="仿宋" w:hint="eastAsia"/>
          <w:sz w:val="28"/>
          <w:szCs w:val="28"/>
          <w:highlight w:val="none"/>
        </w:rPr>
        <w:t>年</w:t>
      </w:r>
      <w:r>
        <w:rPr>
          <w:rFonts w:ascii="仿宋" w:cs="仿宋" w:eastAsia="仿宋" w:hAnsi="仿宋" w:hint="eastAsia"/>
          <w:sz w:val="28"/>
          <w:szCs w:val="28"/>
          <w:highlight w:val="none"/>
          <w:lang w:val="en-US" w:eastAsia="zh-CN"/>
        </w:rPr>
        <w:t>2</w:t>
      </w:r>
      <w:r>
        <w:rPr>
          <w:rFonts w:ascii="仿宋" w:cs="仿宋" w:eastAsia="仿宋" w:hAnsi="仿宋" w:hint="eastAsia"/>
          <w:sz w:val="28"/>
          <w:szCs w:val="28"/>
          <w:highlight w:val="none"/>
        </w:rPr>
        <w:t>月</w:t>
      </w:r>
      <w:r>
        <w:rPr>
          <w:rFonts w:ascii="仿宋" w:cs="仿宋" w:eastAsia="仿宋" w:hAnsi="仿宋" w:hint="eastAsia"/>
          <w:sz w:val="28"/>
          <w:szCs w:val="28"/>
          <w:highlight w:val="none"/>
          <w:lang w:val="en-US" w:eastAsia="zh-CN"/>
        </w:rPr>
        <w:t>26</w:t>
      </w:r>
      <w:r>
        <w:rPr>
          <w:rFonts w:ascii="仿宋" w:cs="仿宋" w:eastAsia="仿宋" w:hAnsi="仿宋" w:hint="eastAsia"/>
          <w:sz w:val="28"/>
          <w:szCs w:val="28"/>
          <w:highlight w:val="none"/>
        </w:rPr>
        <w:t>日</w:t>
      </w:r>
      <w:r>
        <w:rPr>
          <w:rFonts w:ascii="仿宋" w:cs="仿宋" w:eastAsia="仿宋" w:hAnsi="仿宋" w:hint="eastAsia"/>
          <w:sz w:val="28"/>
          <w:szCs w:val="28"/>
          <w:highlight w:val="none"/>
          <w:lang w:val="en-US" w:eastAsia="zh-CN"/>
        </w:rPr>
        <w:t>14：30至28</w:t>
      </w:r>
      <w:r>
        <w:rPr>
          <w:rFonts w:ascii="仿宋" w:cs="仿宋" w:eastAsia="仿宋" w:hAnsi="仿宋" w:hint="eastAsia"/>
          <w:sz w:val="28"/>
          <w:szCs w:val="28"/>
          <w:highlight w:val="none"/>
        </w:rPr>
        <w:t>日</w:t>
      </w:r>
      <w:r>
        <w:rPr>
          <w:rFonts w:ascii="仿宋" w:cs="仿宋" w:eastAsia="仿宋" w:hAnsi="仿宋" w:hint="eastAsia"/>
          <w:sz w:val="28"/>
          <w:szCs w:val="28"/>
          <w:highlight w:val="none"/>
          <w:lang w:val="en-US" w:eastAsia="zh-CN"/>
        </w:rPr>
        <w:t>17：00</w:t>
      </w:r>
      <w:r>
        <w:rPr>
          <w:rFonts w:ascii="仿宋" w:cs="仿宋" w:eastAsia="仿宋" w:hAnsi="仿宋" w:hint="eastAsia"/>
          <w:sz w:val="28"/>
          <w:szCs w:val="28"/>
          <w:highlight w:val="none"/>
        </w:rPr>
        <w:t>。缴纳方式：登录湖南非税平台微信公众号通过微信支付。未在规定时间内缴费的，不得参加我院单招考试及录取。缴费成功的考生于</w:t>
      </w:r>
      <w:r>
        <w:rPr>
          <w:rFonts w:ascii="仿宋" w:cs="仿宋" w:eastAsia="仿宋" w:hAnsi="仿宋" w:hint="eastAsia"/>
          <w:sz w:val="28"/>
          <w:szCs w:val="28"/>
          <w:highlight w:val="none"/>
          <w:lang w:eastAsia="zh-CN"/>
        </w:rPr>
        <w:t>2025</w:t>
      </w:r>
      <w:r>
        <w:rPr>
          <w:rFonts w:ascii="仿宋" w:cs="仿宋" w:eastAsia="仿宋" w:hAnsi="仿宋" w:hint="eastAsia"/>
          <w:sz w:val="28"/>
          <w:szCs w:val="28"/>
          <w:highlight w:val="none"/>
        </w:rPr>
        <w:t>年</w:t>
      </w:r>
      <w:r>
        <w:rPr>
          <w:rFonts w:ascii="仿宋" w:cs="仿宋" w:eastAsia="仿宋" w:hAnsi="仿宋" w:hint="eastAsia"/>
          <w:sz w:val="28"/>
          <w:szCs w:val="28"/>
          <w:highlight w:val="none"/>
          <w:lang w:val="en-US" w:eastAsia="zh-CN"/>
        </w:rPr>
        <w:t>3</w:t>
      </w:r>
      <w:r>
        <w:rPr>
          <w:rFonts w:ascii="仿宋" w:cs="仿宋" w:eastAsia="仿宋" w:hAnsi="仿宋" w:hint="eastAsia"/>
          <w:sz w:val="28"/>
          <w:szCs w:val="28"/>
          <w:highlight w:val="none"/>
        </w:rPr>
        <w:t>月</w:t>
      </w:r>
      <w:r>
        <w:rPr>
          <w:rFonts w:ascii="仿宋" w:cs="仿宋" w:eastAsia="仿宋" w:hAnsi="仿宋" w:hint="eastAsia"/>
          <w:sz w:val="28"/>
          <w:szCs w:val="28"/>
          <w:highlight w:val="none"/>
          <w:lang w:val="en-US" w:eastAsia="zh-CN"/>
        </w:rPr>
        <w:t>5</w:t>
      </w:r>
      <w:r>
        <w:rPr>
          <w:rFonts w:ascii="仿宋" w:cs="仿宋" w:eastAsia="仿宋" w:hAnsi="仿宋" w:hint="eastAsia"/>
          <w:sz w:val="28"/>
          <w:szCs w:val="28"/>
          <w:highlight w:val="none"/>
        </w:rPr>
        <w:t>日-</w:t>
      </w:r>
      <w:r>
        <w:rPr>
          <w:rFonts w:ascii="仿宋" w:cs="仿宋" w:eastAsia="仿宋" w:hAnsi="仿宋" w:hint="eastAsia"/>
          <w:sz w:val="28"/>
          <w:szCs w:val="28"/>
          <w:highlight w:val="none"/>
          <w:lang w:val="en-US" w:eastAsia="zh-CN"/>
        </w:rPr>
        <w:t>7</w:t>
      </w:r>
      <w:r>
        <w:rPr>
          <w:rFonts w:ascii="仿宋" w:cs="仿宋" w:eastAsia="仿宋" w:hAnsi="仿宋" w:hint="eastAsia"/>
          <w:sz w:val="28"/>
          <w:szCs w:val="28"/>
          <w:highlight w:val="none"/>
        </w:rPr>
        <w:t>日登录邵阳职业技术学院官网 （https://www.syzyedu.com）自行打印准考证。第二志愿考生缴费及准考证打印时间学院另行公布。缴费咨询电话：0739-5301928</w:t>
      </w:r>
      <w:r>
        <w:rPr>
          <w:rFonts w:ascii="仿宋" w:cs="仿宋" w:eastAsia="仿宋" w:hAnsi="仿宋" w:hint="eastAsia"/>
          <w:sz w:val="28"/>
          <w:szCs w:val="28"/>
          <w:highlight w:val="none"/>
          <w:lang w:eastAsia="zh-CN"/>
        </w:rPr>
        <w:t>、</w:t>
      </w:r>
      <w:r>
        <w:rPr>
          <w:rFonts w:ascii="仿宋" w:cs="仿宋" w:eastAsia="仿宋" w:hAnsi="仿宋" w:hint="eastAsia"/>
          <w:sz w:val="28"/>
          <w:szCs w:val="28"/>
          <w:highlight w:val="none"/>
        </w:rPr>
        <w:t>0739-5301616，打印准考证咨询电话0739-5301928</w:t>
      </w:r>
      <w:r>
        <w:rPr>
          <w:rFonts w:ascii="仿宋" w:cs="仿宋" w:eastAsia="仿宋" w:hAnsi="仿宋" w:hint="eastAsia"/>
          <w:sz w:val="28"/>
          <w:szCs w:val="28"/>
          <w:highlight w:val="none"/>
          <w:lang w:eastAsia="zh-CN"/>
        </w:rPr>
        <w:t>、</w:t>
      </w:r>
      <w:r>
        <w:rPr>
          <w:rFonts w:ascii="仿宋" w:cs="仿宋" w:eastAsia="仿宋" w:hAnsi="仿宋" w:hint="eastAsia"/>
          <w:sz w:val="28"/>
          <w:szCs w:val="28"/>
          <w:highlight w:val="none"/>
        </w:rPr>
        <w:t>0739-5301616。缴费及准考证打印流程详见邵阳职业技术学院官网（https://www.syzyedu.com ）。</w:t>
      </w:r>
    </w:p>
    <w:p w14:paraId="298169C5">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第二十三条 我院单招考试在省教育考试院的指导下，参照国家教育考试规定进行组织。在学院招生工作领导小组的统筹下，宣传统战部、招生就业指导处、教务科研处、后勤保卫处、纪检监察室等部门共同组织考务工作，加大信息公开及结果公示力度，确保考试评判工作公正、透明。</w:t>
      </w:r>
    </w:p>
    <w:p w14:paraId="69C07C4A">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96" w:firstLineChars="200"/>
        <w:jc w:val="center"/>
        <w:textAlignment w:val="auto"/>
        <w:rPr>
          <w:rFonts w:ascii="仿宋" w:cs="仿宋" w:eastAsia="仿宋" w:hAnsi="仿宋" w:hint="eastAsia"/>
          <w:snapToGrid w:val="false"/>
          <w:color w:val="000000"/>
          <w:spacing w:val="-6"/>
          <w:kern w:val="0"/>
          <w:sz w:val="31"/>
          <w:szCs w:val="31"/>
          <w:highlight w:val="none"/>
          <w:lang w:val="en-US" w:bidi="ar-SA" w:eastAsia="en-US"/>
          <w14:textOutline w14:w="5793" w14:cmpd="sng" w14:cap="sq">
            <w14:solidFill>
              <w14:srgbClr w14:val="000000"/>
            </w14:solidFill>
            <w14:prstDash w14:val="solid"/>
            <w14:bevel/>
          </w14:textOutline>
        </w:rPr>
      </w:pPr>
      <w:r>
        <w:rPr>
          <w:rFonts w:ascii="仿宋" w:cs="仿宋" w:eastAsia="仿宋" w:hAnsi="仿宋" w:hint="eastAsia"/>
          <w:snapToGrid w:val="false"/>
          <w:color w:val="000000"/>
          <w:spacing w:val="-6"/>
          <w:kern w:val="0"/>
          <w:sz w:val="31"/>
          <w:szCs w:val="31"/>
          <w:highlight w:val="none"/>
          <w:lang w:val="en-US" w:bidi="ar-SA" w:eastAsia="en-US"/>
          <w14:textOutline w14:w="5793" w14:cmpd="sng" w14:cap="sq">
            <w14:solidFill>
              <w14:srgbClr w14:val="000000"/>
            </w14:solidFill>
            <w14:prstDash w14:val="solid"/>
            <w14:bevel/>
          </w14:textOutline>
        </w:rPr>
        <w:t>第六章 单招录取</w:t>
      </w:r>
    </w:p>
    <w:p w14:paraId="0041E7DC">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第二十四条 应届普通高中毕业考生（第一类考生）、中职考生和往届普通高中考生及同等学力考生（第二类考生）的类别确定及普通高中学业水平合格性考试成绩的认定以省教育考试院提供的数据为依据。普通高中学业水平合格性考试</w:t>
      </w:r>
      <w:r>
        <w:rPr>
          <w:rFonts w:ascii="仿宋" w:cs="仿宋" w:eastAsia="仿宋" w:hAnsi="仿宋" w:hint="eastAsia"/>
          <w:sz w:val="28"/>
          <w:szCs w:val="28"/>
          <w:highlight w:val="none"/>
          <w:lang w:val="en-US" w:eastAsia="zh-CN"/>
        </w:rPr>
        <w:t>语文、数学、外语科目</w:t>
      </w:r>
      <w:r>
        <w:rPr>
          <w:rFonts w:ascii="仿宋" w:cs="仿宋" w:eastAsia="仿宋" w:hAnsi="仿宋" w:hint="eastAsia"/>
          <w:sz w:val="28"/>
          <w:szCs w:val="28"/>
          <w:highlight w:val="none"/>
        </w:rPr>
        <w:t>有效成绩不全的应届普通高中毕业考生必须按照中职考生和往届普通高中考生及同等学力考生的要求参加文化素质测试及录取。</w:t>
      </w:r>
    </w:p>
    <w:p w14:paraId="1E7E16A1">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第二十五条 单招录取首先对报考单列计划的考生（第三类、第 四类）进行录取，单列计划只录取第一志愿报考的考生，如有剩余单列计划则转为普通类计划录取第一类、第二类考生。</w:t>
      </w:r>
    </w:p>
    <w:p w14:paraId="3E7C3D11">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第二十六条 普通类考生分类别分专业招生计划以实际参考的考生人数为基数，按专业计划数除以该专业参考总人数再乘以各类别参考人数的计算公式列出各专业第一类考生（具有</w:t>
      </w:r>
      <w:r>
        <w:rPr>
          <w:rFonts w:ascii="仿宋" w:cs="仿宋" w:eastAsia="仿宋" w:hAnsi="仿宋" w:hint="eastAsia"/>
          <w:sz w:val="28"/>
          <w:szCs w:val="28"/>
          <w:highlight w:val="none"/>
          <w:lang w:val="en-US" w:eastAsia="zh-CN"/>
        </w:rPr>
        <w:t>2024年</w:t>
      </w:r>
      <w:r>
        <w:rPr>
          <w:rFonts w:ascii="仿宋" w:cs="仿宋" w:eastAsia="仿宋" w:hAnsi="仿宋" w:hint="eastAsia"/>
          <w:sz w:val="28"/>
          <w:szCs w:val="28"/>
          <w:highlight w:val="none"/>
        </w:rPr>
        <w:t>普通高中学业水平合格性考试</w:t>
      </w:r>
      <w:r>
        <w:rPr>
          <w:rFonts w:ascii="仿宋" w:cs="仿宋" w:eastAsia="仿宋" w:hAnsi="仿宋" w:hint="eastAsia"/>
          <w:sz w:val="28"/>
          <w:szCs w:val="28"/>
          <w:highlight w:val="none"/>
          <w:lang w:val="en-US" w:eastAsia="zh-CN"/>
        </w:rPr>
        <w:t>语文、数学、外语科目</w:t>
      </w:r>
      <w:r>
        <w:rPr>
          <w:rFonts w:ascii="仿宋" w:cs="仿宋" w:eastAsia="仿宋" w:hAnsi="仿宋" w:hint="eastAsia"/>
          <w:sz w:val="28"/>
          <w:szCs w:val="28"/>
          <w:highlight w:val="none"/>
        </w:rPr>
        <w:t>有效成绩）、第二类考生（含普通高中学业水平合格性考试</w:t>
      </w:r>
      <w:r>
        <w:rPr>
          <w:rFonts w:ascii="仿宋" w:cs="仿宋" w:eastAsia="仿宋" w:hAnsi="仿宋" w:hint="eastAsia"/>
          <w:sz w:val="28"/>
          <w:szCs w:val="28"/>
          <w:highlight w:val="none"/>
          <w:lang w:val="en-US" w:eastAsia="zh-CN"/>
        </w:rPr>
        <w:t>语文、数学、外语科目</w:t>
      </w:r>
      <w:r>
        <w:rPr>
          <w:rFonts w:ascii="仿宋" w:cs="仿宋" w:eastAsia="仿宋" w:hAnsi="仿宋" w:hint="eastAsia"/>
          <w:sz w:val="28"/>
          <w:szCs w:val="28"/>
          <w:highlight w:val="none"/>
        </w:rPr>
        <w:t>有效成绩不全的应届普通高中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 、24人。第一类考生计划数计算公式：95/（150+50）×150。各类别各专业计划确定后，录取过程中不再调整和追加。</w:t>
      </w:r>
    </w:p>
    <w:p w14:paraId="35CE9B7C">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第二十七条 单招录取工作按照“学校负责、招办监督 ”的原则进行。各类别录取时，按照志愿优先的方式进行。各类别按照以下顺序进行。</w:t>
      </w:r>
    </w:p>
    <w:p w14:paraId="187A26E7">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1. 退役军人考生。按考生职业技能测试综合成绩从高分到低分进行录取，录完为止。为避免个别专业扎堆报考，造成给后续普通类考生计划不足，各专业录取退役军人考生的人数不</w:t>
      </w:r>
      <w:r>
        <w:rPr>
          <w:rFonts w:ascii="仿宋" w:cs="仿宋" w:eastAsia="仿宋" w:hAnsi="仿宋" w:hint="eastAsia"/>
          <w:sz w:val="28"/>
          <w:szCs w:val="28"/>
          <w:highlight w:val="none"/>
          <w:lang w:val="en-US" w:eastAsia="zh-CN"/>
        </w:rPr>
        <w:t>超过</w:t>
      </w:r>
      <w:r>
        <w:rPr>
          <w:rFonts w:ascii="仿宋" w:cs="仿宋" w:eastAsia="仿宋" w:hAnsi="仿宋" w:hint="eastAsia"/>
          <w:sz w:val="28"/>
          <w:szCs w:val="28"/>
          <w:highlight w:val="none"/>
        </w:rPr>
        <w:t>2人。</w:t>
      </w:r>
    </w:p>
    <w:p w14:paraId="6D897E5F">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2.体育特长生。依据考生所填报项目按综合成绩从高分到低分进 行录取，具体规则详见《邵阳职业技术</w:t>
      </w:r>
      <w:r>
        <w:rPr>
          <w:rFonts w:ascii="仿宋" w:cs="仿宋" w:eastAsia="仿宋" w:hAnsi="仿宋" w:hint="eastAsia"/>
          <w:sz w:val="28"/>
          <w:szCs w:val="28"/>
          <w:highlight w:val="none"/>
          <w:lang w:val="en-US" w:eastAsia="zh-CN"/>
        </w:rPr>
        <w:t>学院2025</w:t>
      </w:r>
      <w:r>
        <w:rPr>
          <w:rFonts w:ascii="仿宋" w:cs="仿宋" w:eastAsia="仿宋" w:hAnsi="仿宋" w:hint="eastAsia"/>
          <w:sz w:val="28"/>
          <w:szCs w:val="28"/>
          <w:highlight w:val="none"/>
        </w:rPr>
        <w:t>年体育特长生高职单招方案》。为避免个别专业扎堆报考，造成后续普通类考生计划不足，各专业录取特长生考生的人数不超过2人。</w:t>
      </w:r>
    </w:p>
    <w:p w14:paraId="62598500">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3.普通类考生。根据各专业分类别招生计划数，依据考生所填报 专业按综合成绩从高分到低分进行录取，录满为止。如遇生源不足， 则对该专业所对应专业组内未录取且服从调剂的考生按综合成绩从高分到低分进行调剂录取。</w:t>
      </w:r>
    </w:p>
    <w:p w14:paraId="6D77F8D2">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第二十八条 对于末位同分的考生，依据以下排序原则进行录取。</w:t>
      </w:r>
    </w:p>
    <w:p w14:paraId="2CD9A7DD">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同分排序规则为：</w:t>
      </w:r>
    </w:p>
    <w:p w14:paraId="75F389A9">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1. 应届普通高中毕业考生：学考成绩总分，职业技能测试成绩总分，学考成绩中的语文、数学、外语成绩，职业技能测试成绩中的客观题总分、主观题总分。</w:t>
      </w:r>
    </w:p>
    <w:p w14:paraId="0F597706">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2. 中职考生和往届普通高中考生及同等学力考生：文化素质测试成绩总分，职业技能测试成绩总分，文化素质测试成绩中的语文、数学、英语成绩，职业技能测试成绩中的客观题总分、主观题总分。</w:t>
      </w:r>
    </w:p>
    <w:p w14:paraId="1B49456E">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3. 退役军人：职业技能测试成绩中的客观题总分、主观题总分。</w:t>
      </w:r>
    </w:p>
    <w:p w14:paraId="7809A2BC">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4. 体育特长生：考生专项测试成绩、文化素质测试成绩中的语文、数学、英语成绩。</w:t>
      </w:r>
    </w:p>
    <w:p w14:paraId="5717BD5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第二十</w:t>
      </w:r>
      <w:r>
        <w:rPr>
          <w:rFonts w:ascii="仿宋" w:cs="仿宋" w:eastAsia="仿宋" w:hAnsi="仿宋" w:hint="eastAsia"/>
          <w:sz w:val="28"/>
          <w:szCs w:val="28"/>
          <w:highlight w:val="none"/>
          <w:lang w:val="en-US" w:eastAsia="zh-CN"/>
        </w:rPr>
        <w:t>九</w:t>
      </w:r>
      <w:r>
        <w:rPr>
          <w:rFonts w:ascii="仿宋" w:cs="仿宋" w:eastAsia="仿宋" w:hAnsi="仿宋" w:hint="eastAsia"/>
          <w:sz w:val="28"/>
          <w:szCs w:val="28"/>
          <w:highlight w:val="none"/>
        </w:rPr>
        <w:t>条 为保障生源质量，我校根据实际情况确定录取合格标准，对不合格的考生不予录取。合格</w:t>
      </w:r>
      <w:r>
        <w:rPr>
          <w:rFonts w:ascii="仿宋" w:cs="仿宋" w:eastAsia="仿宋" w:hAnsi="仿宋" w:hint="eastAsia"/>
          <w:sz w:val="28"/>
          <w:szCs w:val="28"/>
          <w:highlight w:val="none"/>
          <w:lang w:val="en-US" w:eastAsia="zh-CN"/>
        </w:rPr>
        <w:t>范围</w:t>
      </w:r>
      <w:r>
        <w:rPr>
          <w:rFonts w:ascii="仿宋" w:cs="仿宋" w:eastAsia="仿宋" w:hAnsi="仿宋" w:hint="eastAsia"/>
          <w:sz w:val="28"/>
          <w:szCs w:val="28"/>
          <w:highlight w:val="none"/>
        </w:rPr>
        <w:t>是：</w:t>
      </w:r>
    </w:p>
    <w:p w14:paraId="7BED590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default"/>
          <w:sz w:val="28"/>
          <w:szCs w:val="28"/>
          <w:highlight w:val="none"/>
          <w:lang w:val="en-US" w:eastAsia="zh-CN"/>
        </w:rPr>
      </w:pPr>
      <w:r>
        <w:rPr>
          <w:rFonts w:ascii="仿宋" w:cs="仿宋" w:eastAsia="仿宋" w:hAnsi="仿宋" w:hint="eastAsia"/>
          <w:sz w:val="28"/>
          <w:szCs w:val="28"/>
          <w:highlight w:val="none"/>
        </w:rPr>
        <w:t>1.应届普高生：</w:t>
      </w:r>
      <w:r>
        <w:rPr>
          <w:rFonts w:ascii="仿宋" w:cs="仿宋" w:eastAsia="仿宋" w:hAnsi="仿宋" w:hint="eastAsia"/>
          <w:sz w:val="28"/>
          <w:szCs w:val="28"/>
          <w:highlight w:val="none"/>
          <w:lang w:val="en-US" w:eastAsia="zh-CN"/>
        </w:rPr>
        <w:t>依据该类别实际参加考试的考生其文化素质与职业技能综合总成绩进行整体排名，取前80%作为合格范围。</w:t>
      </w:r>
    </w:p>
    <w:p w14:paraId="4EDA4F45">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default"/>
          <w:sz w:val="28"/>
          <w:szCs w:val="28"/>
          <w:highlight w:val="none"/>
          <w:lang w:val="en-US"/>
        </w:rPr>
      </w:pPr>
      <w:r>
        <w:rPr>
          <w:rFonts w:ascii="仿宋" w:cs="仿宋" w:eastAsia="仿宋" w:hAnsi="仿宋" w:hint="eastAsia"/>
          <w:sz w:val="28"/>
          <w:szCs w:val="28"/>
          <w:highlight w:val="none"/>
        </w:rPr>
        <w:t>2.中职考生和往届普通高中考生及同等学力考生：</w:t>
      </w:r>
      <w:r>
        <w:rPr>
          <w:rFonts w:ascii="仿宋" w:cs="仿宋" w:eastAsia="仿宋" w:hAnsi="仿宋" w:hint="eastAsia"/>
          <w:sz w:val="28"/>
          <w:szCs w:val="28"/>
          <w:highlight w:val="none"/>
          <w:lang w:val="en-US" w:eastAsia="zh-CN"/>
        </w:rPr>
        <w:t>依据该类别实际参加考试的考生其文化素质与职业技能综合总成绩进行整体排名，选取前80%作为合格范围。</w:t>
      </w:r>
    </w:p>
    <w:p w14:paraId="197DC4BB">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如按上述合格标准进行录取出现部分专业招生计划未完成情况，则在合格标准内对服从专业调剂考生进行录取。</w:t>
      </w:r>
    </w:p>
    <w:p w14:paraId="617E72FB">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第三十条 我院将通过官网（http://www.syzyedu.com）发布单招拟录取名单，拟录取考生需在我院规定时间内办理相关录取确认手续。</w:t>
      </w:r>
    </w:p>
    <w:p w14:paraId="683BC3B5">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第三十一条 单招录取的学生不得参加本年度统一高考和普通高校对口招生考试。单招录取的学生不得转学，特殊情况需转专业的， 按照《邵阳职业技术学院学籍管理实施细则》等相关规定，在我院当年单招专业范围内转换。</w:t>
      </w:r>
    </w:p>
    <w:p w14:paraId="3A5969AD">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第三十二条 单招第一志愿录取结束后，如有剩余专业计划，我院将向社会公布有缺额的专业及计划数，并组织第二志愿报考我院且未被第一志愿录取考生举行考试。第二志愿考试要求及录取规则等与第一志愿的相关规定一致。</w:t>
      </w:r>
    </w:p>
    <w:p w14:paraId="7BBEB417">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96" w:firstLineChars="200"/>
        <w:jc w:val="center"/>
        <w:textAlignment w:val="auto"/>
        <w:rPr>
          <w:rFonts w:ascii="仿宋" w:cs="仿宋" w:eastAsia="仿宋" w:hAnsi="仿宋" w:hint="eastAsia"/>
          <w:snapToGrid w:val="false"/>
          <w:color w:val="000000"/>
          <w:spacing w:val="-6"/>
          <w:kern w:val="0"/>
          <w:sz w:val="31"/>
          <w:szCs w:val="31"/>
          <w:highlight w:val="none"/>
          <w:lang w:val="en-US" w:bidi="ar-SA" w:eastAsia="en-US"/>
          <w14:textOutline w14:w="5793" w14:cmpd="sng" w14:cap="sq">
            <w14:solidFill>
              <w14:srgbClr w14:val="000000"/>
            </w14:solidFill>
            <w14:prstDash w14:val="solid"/>
            <w14:bevel/>
          </w14:textOutline>
        </w:rPr>
      </w:pPr>
      <w:r>
        <w:rPr>
          <w:rFonts w:ascii="仿宋" w:cs="仿宋" w:eastAsia="仿宋" w:hAnsi="仿宋" w:hint="eastAsia"/>
          <w:snapToGrid w:val="false"/>
          <w:color w:val="000000"/>
          <w:spacing w:val="-6"/>
          <w:kern w:val="0"/>
          <w:sz w:val="31"/>
          <w:szCs w:val="31"/>
          <w:highlight w:val="none"/>
          <w:lang w:val="en-US" w:bidi="ar-SA" w:eastAsia="en-US"/>
          <w14:textOutline w14:w="5793" w14:cmpd="sng" w14:cap="sq">
            <w14:solidFill>
              <w14:srgbClr w14:val="000000"/>
            </w14:solidFill>
            <w14:prstDash w14:val="solid"/>
            <w14:bevel/>
          </w14:textOutline>
        </w:rPr>
        <w:t>第七章 监督管理</w:t>
      </w:r>
    </w:p>
    <w:p w14:paraId="2D909797">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第三十三条 单招期间，确保规范有序、公平公正，在学院纪检监察室全程监督检查下进行单招考试、录取等工作。</w:t>
      </w:r>
    </w:p>
    <w:p w14:paraId="0F75AAD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第三十四条 学院单招工作严格执行教育部和省教育厅政策规定 和纪律要求，没有举办所谓的考前“辅导班”“培训班”，没有与任何社会机构及人员进行单招合作。凡是有社会机构和个人宣传与我院 有合作、可以通过“内部指标”方式确保考生录取的，考生可第一时</w:t>
      </w:r>
    </w:p>
    <w:p w14:paraId="7575EE18">
      <w:pPr>
        <w:pStyle w:val="style0"/>
        <w:keepNext w:val="false"/>
        <w:keepLines w:val="false"/>
        <w:pageBreakBefore w:val="false"/>
        <w:widowControl w:val="false"/>
        <w:kinsoku/>
        <w:wordWrap/>
        <w:overflowPunct/>
        <w:topLinePunct w:val="false"/>
        <w:autoSpaceDE/>
        <w:autoSpaceDN/>
        <w:bidi w:val="false"/>
        <w:adjustRightInd/>
        <w:snapToGrid/>
        <w:spacing w:lineRule="auto" w:line="36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间向教育主管部门反映，遭受相关损失的可向公安机关反映。</w:t>
      </w:r>
    </w:p>
    <w:p w14:paraId="78DCF2C4">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第三十五条 我院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院单招工作进行监督，我院的投诉举报电话为 0739-8902153。</w:t>
      </w:r>
    </w:p>
    <w:p w14:paraId="5F8CE5AF">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96" w:firstLineChars="200"/>
        <w:jc w:val="center"/>
        <w:textAlignment w:val="auto"/>
        <w:rPr>
          <w:rFonts w:ascii="仿宋" w:cs="仿宋" w:eastAsia="仿宋" w:hAnsi="仿宋" w:hint="eastAsia"/>
          <w:snapToGrid w:val="false"/>
          <w:color w:val="000000"/>
          <w:spacing w:val="-6"/>
          <w:kern w:val="0"/>
          <w:sz w:val="31"/>
          <w:szCs w:val="31"/>
          <w:highlight w:val="none"/>
          <w:lang w:val="en-US" w:bidi="ar-SA" w:eastAsia="en-US"/>
          <w14:textOutline w14:w="5793" w14:cmpd="sng" w14:cap="sq">
            <w14:solidFill>
              <w14:srgbClr w14:val="000000"/>
            </w14:solidFill>
            <w14:prstDash w14:val="solid"/>
            <w14:bevel/>
          </w14:textOutline>
        </w:rPr>
      </w:pPr>
      <w:r>
        <w:rPr>
          <w:rFonts w:ascii="仿宋" w:cs="仿宋" w:eastAsia="仿宋" w:hAnsi="仿宋" w:hint="eastAsia"/>
          <w:snapToGrid w:val="false"/>
          <w:color w:val="000000"/>
          <w:spacing w:val="-6"/>
          <w:kern w:val="0"/>
          <w:sz w:val="31"/>
          <w:szCs w:val="31"/>
          <w:highlight w:val="none"/>
          <w:lang w:val="en-US" w:bidi="ar-SA" w:eastAsia="en-US"/>
          <w14:textOutline w14:w="5793" w14:cmpd="sng" w14:cap="sq">
            <w14:solidFill>
              <w14:srgbClr w14:val="000000"/>
            </w14:solidFill>
            <w14:prstDash w14:val="solid"/>
            <w14:bevel/>
          </w14:textOutline>
        </w:rPr>
        <w:t>第八章 附则</w:t>
      </w:r>
    </w:p>
    <w:p w14:paraId="1D981ADA">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第三十六条 学院对新生入学设有“绿色通道”。家庭经济特别困难的新生，可根据国家有关规定申请国家助学贷款。</w:t>
      </w:r>
    </w:p>
    <w:p w14:paraId="55DBCCB6">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第三十七条 录取考生的体检标准按照教育部、卫生部、中国残疾人联合会颁布的《普通高等学校招生体检工作指导意见》及有关补充规定执行。</w:t>
      </w:r>
    </w:p>
    <w:p w14:paraId="11B50A37">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第三十八条 录取考生的思想政治品德考核和身体健康状况检查 均采用考生报考普通高校招生考试或对口招生考试时所采集的信息，学生对提供的信息真实性负责。</w:t>
      </w:r>
    </w:p>
    <w:p w14:paraId="67D37AC1">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第三十九条 新生入学后3个月内，学院按照招生政策规定对新生报名资格、身心状况、录取手续及程序、录取资格、优惠资格及相关证明材料等进行复查复核。对复查复核发现的问题，学院将集中研 究处理，凡属弄虚作假者，一经查实，取消其入学资格。对于弄虚作假情节严重或涉嫌冒名顶替上大学的，移送相关部门调查处理。</w:t>
      </w:r>
    </w:p>
    <w:p w14:paraId="76EC97E4">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第四十条 本章程通过湖南省教育考试院和学院官网向社会发布，对于各种媒体节选公布的章程内容，如理解有误，以学院公布的完整单独招生章程为准。</w:t>
      </w:r>
    </w:p>
    <w:p w14:paraId="0E8007C7">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第四十</w:t>
      </w:r>
      <w:r>
        <w:rPr>
          <w:rFonts w:ascii="仿宋" w:cs="仿宋" w:eastAsia="仿宋" w:hAnsi="仿宋" w:hint="eastAsia"/>
          <w:sz w:val="28"/>
          <w:szCs w:val="28"/>
          <w:highlight w:val="none"/>
          <w:lang w:val="en-US" w:eastAsia="zh-CN"/>
        </w:rPr>
        <w:t>一</w:t>
      </w:r>
      <w:r>
        <w:rPr>
          <w:rFonts w:ascii="仿宋" w:cs="仿宋" w:eastAsia="仿宋" w:hAnsi="仿宋" w:hint="eastAsia"/>
          <w:sz w:val="28"/>
          <w:szCs w:val="28"/>
          <w:highlight w:val="none"/>
        </w:rPr>
        <w:t>条 学院招生联系方式</w:t>
      </w:r>
    </w:p>
    <w:p w14:paraId="6F4FA906">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招生咨询电话：0739-5301928</w:t>
      </w:r>
      <w:r>
        <w:rPr>
          <w:rFonts w:ascii="仿宋" w:cs="仿宋" w:eastAsia="仿宋" w:hAnsi="仿宋" w:hint="eastAsia"/>
          <w:sz w:val="28"/>
          <w:szCs w:val="28"/>
          <w:highlight w:val="none"/>
          <w:lang w:eastAsia="zh-CN"/>
        </w:rPr>
        <w:t>、</w:t>
      </w:r>
      <w:r>
        <w:rPr>
          <w:rFonts w:ascii="仿宋" w:cs="仿宋" w:eastAsia="仿宋" w:hAnsi="仿宋" w:hint="eastAsia"/>
          <w:sz w:val="28"/>
          <w:szCs w:val="28"/>
          <w:highlight w:val="none"/>
        </w:rPr>
        <w:t>0739-5301616</w:t>
      </w:r>
    </w:p>
    <w:p w14:paraId="21DE52A4">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招生咨询邮箱：syzyedu@126.com</w:t>
      </w:r>
    </w:p>
    <w:p w14:paraId="5BD7296D">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招生信息发布网址：www.syzyedu.com</w:t>
      </w:r>
    </w:p>
    <w:p w14:paraId="723D6590">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监督投诉电话： 0739-8902153</w:t>
      </w:r>
    </w:p>
    <w:p w14:paraId="0663521E">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通信地址：湖南省邵阳市大祥区学院路梅子井</w:t>
      </w:r>
    </w:p>
    <w:p w14:paraId="44BB66C5">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邮政编码：422004</w:t>
      </w:r>
    </w:p>
    <w:p w14:paraId="328B63CC">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560" w:firstLineChars="200"/>
        <w:textAlignment w:val="auto"/>
        <w:rPr>
          <w:rFonts w:ascii="仿宋" w:cs="仿宋" w:eastAsia="仿宋" w:hAnsi="仿宋" w:hint="eastAsia"/>
          <w:sz w:val="28"/>
          <w:szCs w:val="28"/>
          <w:highlight w:val="none"/>
        </w:rPr>
      </w:pPr>
      <w:r>
        <w:rPr>
          <w:rFonts w:ascii="仿宋" w:cs="仿宋" w:eastAsia="仿宋" w:hAnsi="仿宋" w:hint="eastAsia"/>
          <w:sz w:val="28"/>
          <w:szCs w:val="28"/>
          <w:highlight w:val="none"/>
        </w:rPr>
        <w:t>第四十</w:t>
      </w:r>
      <w:r>
        <w:rPr>
          <w:rFonts w:ascii="仿宋" w:cs="仿宋" w:eastAsia="仿宋" w:hAnsi="仿宋" w:hint="eastAsia"/>
          <w:sz w:val="28"/>
          <w:szCs w:val="28"/>
          <w:highlight w:val="none"/>
          <w:lang w:val="en-US" w:eastAsia="zh-CN"/>
        </w:rPr>
        <w:t>二</w:t>
      </w:r>
      <w:r>
        <w:rPr>
          <w:rFonts w:ascii="仿宋" w:cs="仿宋" w:eastAsia="仿宋" w:hAnsi="仿宋" w:hint="eastAsia"/>
          <w:sz w:val="28"/>
          <w:szCs w:val="28"/>
          <w:highlight w:val="none"/>
        </w:rPr>
        <w:t>条 本章程适用于我院202</w:t>
      </w:r>
      <w:r>
        <w:rPr>
          <w:rFonts w:ascii="仿宋" w:cs="仿宋" w:eastAsia="仿宋" w:hAnsi="仿宋" w:hint="eastAsia"/>
          <w:sz w:val="28"/>
          <w:szCs w:val="28"/>
          <w:highlight w:val="none"/>
          <w:lang w:val="en-US" w:eastAsia="zh-CN"/>
        </w:rPr>
        <w:t>5</w:t>
      </w:r>
      <w:r>
        <w:rPr>
          <w:rFonts w:ascii="仿宋" w:cs="仿宋" w:eastAsia="仿宋" w:hAnsi="仿宋" w:hint="eastAsia"/>
          <w:sz w:val="28"/>
          <w:szCs w:val="28"/>
          <w:highlight w:val="none"/>
        </w:rPr>
        <w:t>年湖南省单招。其解释权属 于邵阳职业技术学院。如遇教育部、湖南省教育厅相关招生政策调整，以公布的最新政策为准。</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仿宋">
    <w:altName w:val="仿宋"/>
    <w:panose1 w:val="02010609060001010101"/>
    <w:charset w:val="86"/>
    <w:family w:val="auto"/>
    <w:pitch w:val="default"/>
    <w:sig w:usb0="800002BF" w:usb1="38CF7CFA" w:usb2="00000016" w:usb3="00000000" w:csb0="00040001" w:csb1="00000000"/>
  </w:font>
  <w:font w:name="Segoe UI">
    <w:altName w:val="Segoe UI"/>
    <w:panose1 w:val="020b0502040002020203"/>
    <w:charset w:val="00"/>
    <w:family w:val="auto"/>
    <w:pitch w:val="default"/>
    <w:sig w:usb0="E4002EFF" w:usb1="C000E47F"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14:paraId="2E9ADEF7">
    <w:pPr>
      <w:pStyle w:val="style0"/>
      <w:spacing w:lineRule="auto" w:line="176"/>
      <w:ind w:left="4408"/>
      <w:rPr>
        <w:rFonts w:ascii="Times New Roman" w:cs="Times New Roman" w:eastAsia="Times New Roman" w:hAnsi="Times New Roman"/>
        <w:sz w:val="18"/>
        <w:szCs w:val="18"/>
      </w:rPr>
    </w:pPr>
    <w:r>
      <w:rPr>
        <w:rFonts w:ascii="Times New Roman" w:cs="Times New Roman" w:eastAsia="Times New Roman" w:hAnsi="Times New Roman"/>
        <w:sz w:val="18"/>
        <w:szCs w:val="18"/>
      </w:rPr>
      <w:t>3</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7189E75"/>
    <w:lvl w:ilvl="0">
      <w:start w:val="3"/>
      <w:numFmt w:val="chineseCounting"/>
      <w:suff w:val="space"/>
      <w:lvlText w:val="第%1条"/>
      <w:lvlJc w:val="left"/>
      <w:pPr/>
      <w:rPr>
        <w:rFonts w:hint="eastAsia"/>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0"/>
    <w:pPr/>
    <w:rPr>
      <w:rFonts w:ascii="仿宋" w:cs="仿宋" w:eastAsia="仿宋" w:hAnsi="仿宋"/>
      <w:sz w:val="28"/>
      <w:szCs w:val="28"/>
      <w:lang w:val="en-US" w:bidi="ar-SA" w:eastAsia="en-US"/>
    </w:rPr>
  </w:style>
  <w:style w:type="paragraph" w:customStyle="1" w:styleId="style4097">
    <w:name w:val="Table Text"/>
    <w:basedOn w:val="style0"/>
    <w:next w:val="style4097"/>
    <w:qFormat/>
    <w:uiPriority w:val="0"/>
    <w:pPr/>
    <w:rPr>
      <w:rFonts w:ascii="宋体" w:cs="宋体" w:eastAsia="宋体" w:hAnsi="宋体"/>
      <w:sz w:val="22"/>
      <w:szCs w:val="22"/>
      <w:lang w:val="en-US" w:bidi="ar-SA" w:eastAsia="en-US"/>
    </w:rPr>
  </w:style>
  <w:style w:type="table" w:customStyle="1" w:styleId="style4098">
    <w:name w:val="Table Normal"/>
    <w:next w:val="style4098"/>
    <w:qFormat/>
    <w:uiPriority w:val="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Words>6369</Words>
  <Pages>13</Pages>
  <Characters>6873</Characters>
  <Application>WPS Office</Application>
  <DocSecurity>0</DocSecurity>
  <Paragraphs>234</Paragraphs>
  <ScaleCrop>false</ScaleCrop>
  <LinksUpToDate>false</LinksUpToDate>
  <CharactersWithSpaces>6990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2024-10-18T07:28:00Z</dcterms:created>
  <dc:creator>吹个大气球</dc:creator>
  <lastModifiedBy>BVL-AN00</lastModifiedBy>
  <dcterms:modified xsi:type="dcterms:W3CDTF">2025-01-24T07:10:02Z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ebb1d4ed74c54919bf9fdfd74d0f31f8_23</vt:lpwstr>
  </property>
  <property fmtid="{D5CDD505-2E9C-101B-9397-08002B2CF9AE}" pid="4" name="KSOTemplateDocerSaveRecord">
    <vt:lpwstr>eyJoZGlkIjoiZWJmMTZiZTVkN2VkYTA1ZTM5OWQ0NWM1MWUyNmRjOTkiLCJ1c2VySWQiOiIyODUxNjEyNzAifQ==</vt:lpwstr>
  </property>
</Properties>
</file>