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8E1EF">
      <w:pPr>
        <w:keepNext w:val="0"/>
        <w:keepLines w:val="0"/>
        <w:pageBreakBefore w:val="0"/>
        <w:kinsoku/>
        <w:wordWrap/>
        <w:overflowPunct/>
        <w:topLinePunct w:val="0"/>
        <w:autoSpaceDE/>
        <w:autoSpaceDN/>
        <w:bidi w:val="0"/>
        <w:spacing w:before="156" w:beforeLines="50" w:after="156" w:afterLines="50" w:line="560" w:lineRule="exact"/>
        <w:jc w:val="center"/>
        <w:outlineLvl w:val="9"/>
        <w:rPr>
          <w:rFonts w:hint="eastAsia" w:ascii="方正小标宋_GBK" w:hAnsi="方正小标宋_GBK" w:eastAsia="方正小标宋_GBK" w:cs="方正小标宋_GBK"/>
          <w:b w:val="0"/>
          <w:bCs w:val="0"/>
          <w:color w:val="auto"/>
          <w:sz w:val="44"/>
          <w:szCs w:val="44"/>
          <w:u w:val="none"/>
          <w:lang w:val="en-US" w:eastAsia="zh-CN"/>
        </w:rPr>
      </w:pPr>
      <w:bookmarkStart w:id="1" w:name="_GoBack"/>
      <w:bookmarkEnd w:id="1"/>
      <w:bookmarkStart w:id="0" w:name="zhengwen"/>
    </w:p>
    <w:p w14:paraId="3DFDA8E6">
      <w:pPr>
        <w:keepNext w:val="0"/>
        <w:keepLines w:val="0"/>
        <w:pageBreakBefore w:val="0"/>
        <w:kinsoku/>
        <w:wordWrap/>
        <w:overflowPunct/>
        <w:topLinePunct w:val="0"/>
        <w:autoSpaceDE/>
        <w:autoSpaceDN/>
        <w:bidi w:val="0"/>
        <w:spacing w:before="156" w:beforeLines="50" w:after="156" w:afterLines="50" w:line="560" w:lineRule="exact"/>
        <w:jc w:val="center"/>
        <w:outlineLvl w:val="9"/>
        <w:rPr>
          <w:rFonts w:hint="eastAsia" w:ascii="方正小标宋_GBK" w:hAnsi="方正小标宋_GBK" w:eastAsia="方正小标宋_GBK" w:cs="方正小标宋_GBK"/>
          <w:b w:val="0"/>
          <w:bCs w:val="0"/>
          <w:color w:val="auto"/>
          <w:sz w:val="44"/>
          <w:szCs w:val="44"/>
          <w:lang w:val="en-US" w:eastAsia="zh-CN"/>
        </w:rPr>
      </w:pPr>
      <w:r>
        <w:rPr>
          <w:rFonts w:hint="eastAsia" w:ascii="方正小标宋_GBK" w:hAnsi="方正小标宋_GBK" w:eastAsia="方正小标宋_GBK" w:cs="方正小标宋_GBK"/>
          <w:b w:val="0"/>
          <w:bCs w:val="0"/>
          <w:color w:val="auto"/>
          <w:sz w:val="44"/>
          <w:szCs w:val="44"/>
          <w:u w:val="none"/>
          <w:lang w:val="en-US" w:eastAsia="zh-CN"/>
        </w:rPr>
        <w:t>长沙电力职业技术学院</w:t>
      </w:r>
      <w:r>
        <w:rPr>
          <w:rFonts w:hint="eastAsia" w:ascii="方正小标宋_GBK" w:hAnsi="方正小标宋_GBK" w:eastAsia="方正小标宋_GBK" w:cs="方正小标宋_GBK"/>
          <w:b w:val="0"/>
          <w:bCs w:val="0"/>
          <w:color w:val="auto"/>
          <w:sz w:val="44"/>
          <w:szCs w:val="44"/>
        </w:rPr>
        <w:t>202</w:t>
      </w:r>
      <w:r>
        <w:rPr>
          <w:rFonts w:hint="eastAsia" w:ascii="方正小标宋_GBK" w:hAnsi="方正小标宋_GBK" w:eastAsia="方正小标宋_GBK" w:cs="方正小标宋_GBK"/>
          <w:b w:val="0"/>
          <w:bCs w:val="0"/>
          <w:color w:val="auto"/>
          <w:sz w:val="44"/>
          <w:szCs w:val="44"/>
          <w:lang w:val="en-US" w:eastAsia="zh-CN"/>
        </w:rPr>
        <w:t>5</w:t>
      </w:r>
      <w:r>
        <w:rPr>
          <w:rFonts w:hint="eastAsia" w:ascii="方正小标宋_GBK" w:hAnsi="方正小标宋_GBK" w:eastAsia="方正小标宋_GBK" w:cs="方正小标宋_GBK"/>
          <w:b w:val="0"/>
          <w:bCs w:val="0"/>
          <w:color w:val="auto"/>
          <w:sz w:val="44"/>
          <w:szCs w:val="44"/>
        </w:rPr>
        <w:t>年</w:t>
      </w:r>
      <w:r>
        <w:rPr>
          <w:rFonts w:hint="eastAsia" w:ascii="方正小标宋_GBK" w:hAnsi="方正小标宋_GBK" w:eastAsia="方正小标宋_GBK" w:cs="方正小标宋_GBK"/>
          <w:b w:val="0"/>
          <w:bCs w:val="0"/>
          <w:color w:val="auto"/>
          <w:sz w:val="44"/>
          <w:szCs w:val="44"/>
          <w:lang w:val="en-US" w:eastAsia="zh-CN"/>
        </w:rPr>
        <w:t>单独招生</w:t>
      </w:r>
    </w:p>
    <w:p w14:paraId="6DC7A995">
      <w:pPr>
        <w:keepNext w:val="0"/>
        <w:keepLines w:val="0"/>
        <w:pageBreakBefore w:val="0"/>
        <w:kinsoku/>
        <w:wordWrap/>
        <w:overflowPunct/>
        <w:topLinePunct w:val="0"/>
        <w:autoSpaceDE/>
        <w:autoSpaceDN/>
        <w:bidi w:val="0"/>
        <w:spacing w:before="156" w:beforeLines="50" w:after="156" w:afterLines="50" w:line="560" w:lineRule="exact"/>
        <w:jc w:val="center"/>
        <w:outlineLvl w:val="9"/>
        <w:rPr>
          <w:rFonts w:hint="eastAsia" w:ascii="方正小标宋_GBK" w:hAnsi="方正小标宋_GBK" w:eastAsia="方正小标宋_GBK" w:cs="方正小标宋_GBK"/>
          <w:b w:val="0"/>
          <w:bCs w:val="0"/>
          <w:color w:val="auto"/>
          <w:sz w:val="44"/>
          <w:szCs w:val="44"/>
        </w:rPr>
      </w:pPr>
      <w:r>
        <w:rPr>
          <w:rFonts w:hint="eastAsia" w:ascii="方正小标宋_GBK" w:hAnsi="方正小标宋_GBK" w:eastAsia="方正小标宋_GBK" w:cs="方正小标宋_GBK"/>
          <w:b w:val="0"/>
          <w:bCs w:val="0"/>
          <w:color w:val="auto"/>
          <w:sz w:val="44"/>
          <w:szCs w:val="44"/>
          <w:lang w:val="en-US" w:eastAsia="zh-CN"/>
        </w:rPr>
        <w:t>章</w:t>
      </w:r>
      <w:r>
        <w:rPr>
          <w:rFonts w:hint="eastAsia" w:ascii="方正小标宋_GBK" w:hAnsi="方正小标宋_GBK" w:eastAsia="方正小标宋_GBK" w:cs="方正小标宋_GBK"/>
          <w:b w:val="0"/>
          <w:bCs w:val="0"/>
          <w:color w:val="auto"/>
          <w:sz w:val="44"/>
          <w:szCs w:val="44"/>
        </w:rPr>
        <w:t>程</w:t>
      </w:r>
    </w:p>
    <w:p w14:paraId="2CB4CFE1">
      <w:pPr>
        <w:pStyle w:val="2"/>
        <w:rPr>
          <w:rFonts w:hint="eastAsia"/>
          <w:color w:val="auto"/>
        </w:rPr>
      </w:pPr>
    </w:p>
    <w:p w14:paraId="211E4101">
      <w:pPr>
        <w:keepNext w:val="0"/>
        <w:keepLines w:val="0"/>
        <w:pageBreakBefore w:val="0"/>
        <w:numPr>
          <w:ilvl w:val="0"/>
          <w:numId w:val="1"/>
        </w:numPr>
        <w:kinsoku/>
        <w:wordWrap/>
        <w:overflowPunct/>
        <w:topLinePunct w:val="0"/>
        <w:autoSpaceDE/>
        <w:autoSpaceDN/>
        <w:bidi w:val="0"/>
        <w:adjustRightInd/>
        <w:snapToGrid/>
        <w:spacing w:before="312" w:beforeLines="100" w:after="156" w:afterLines="50" w:line="560" w:lineRule="exact"/>
        <w:jc w:val="center"/>
        <w:outlineLvl w:val="9"/>
        <w:rPr>
          <w:rFonts w:hint="eastAsia" w:ascii="方正黑体_GBK" w:hAnsi="方正黑体_GBK" w:eastAsia="方正黑体_GBK" w:cs="方正黑体_GBK"/>
          <w:b w:val="0"/>
          <w:bCs w:val="0"/>
          <w:color w:val="auto"/>
          <w:sz w:val="32"/>
          <w:szCs w:val="32"/>
        </w:rPr>
      </w:pPr>
      <w:r>
        <w:rPr>
          <w:rFonts w:hint="eastAsia" w:ascii="方正黑体_GBK" w:hAnsi="方正黑体_GBK" w:eastAsia="方正黑体_GBK" w:cs="方正黑体_GBK"/>
          <w:b w:val="0"/>
          <w:bCs w:val="0"/>
          <w:color w:val="auto"/>
          <w:sz w:val="32"/>
          <w:szCs w:val="32"/>
        </w:rPr>
        <w:t>总 则</w:t>
      </w:r>
    </w:p>
    <w:p w14:paraId="251D6593">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根据《中华人民共和国教育法》《中华人民共和国高等教育法》等法律法规及教育部有关规定，</w:t>
      </w:r>
      <w:r>
        <w:rPr>
          <w:rFonts w:hint="eastAsia" w:ascii="方正仿宋_GBK" w:hAnsi="方正仿宋_GBK" w:eastAsia="方正仿宋_GBK" w:cs="方正仿宋_GBK"/>
          <w:color w:val="auto"/>
          <w:sz w:val="32"/>
          <w:szCs w:val="32"/>
          <w:lang w:val="en-US" w:eastAsia="zh-CN"/>
        </w:rPr>
        <w:t>依据</w:t>
      </w:r>
      <w:r>
        <w:rPr>
          <w:rFonts w:hint="eastAsia" w:ascii="方正仿宋_GBK" w:hAnsi="方正仿宋_GBK" w:eastAsia="方正仿宋_GBK" w:cs="方正仿宋_GBK"/>
          <w:color w:val="auto"/>
          <w:sz w:val="32"/>
          <w:szCs w:val="32"/>
        </w:rPr>
        <w:t>湖南省教育厅《关于做好</w:t>
      </w:r>
      <w:r>
        <w:rPr>
          <w:rFonts w:hint="eastAsia" w:ascii="方正仿宋_GBK" w:hAnsi="方正仿宋_GBK" w:eastAsia="方正仿宋_GBK" w:cs="方正仿宋_GBK"/>
          <w:color w:val="auto"/>
          <w:sz w:val="32"/>
          <w:szCs w:val="32"/>
          <w:lang w:val="en-US" w:eastAsia="zh-CN"/>
        </w:rPr>
        <w:t>湖南省</w:t>
      </w:r>
      <w:r>
        <w:rPr>
          <w:rFonts w:hint="eastAsia" w:ascii="方正仿宋_GBK" w:hAnsi="方正仿宋_GBK" w:eastAsia="方正仿宋_GBK" w:cs="方正仿宋_GBK"/>
          <w:color w:val="auto"/>
          <w:sz w:val="32"/>
          <w:szCs w:val="32"/>
        </w:rPr>
        <w:t>202</w:t>
      </w:r>
      <w:r>
        <w:rPr>
          <w:rFonts w:hint="eastAsia" w:ascii="方正仿宋_GBK" w:hAnsi="方正仿宋_GBK" w:eastAsia="方正仿宋_GBK" w:cs="方正仿宋_GBK"/>
          <w:color w:val="auto"/>
          <w:sz w:val="32"/>
          <w:szCs w:val="32"/>
          <w:lang w:val="en-US" w:eastAsia="zh-CN"/>
        </w:rPr>
        <w:t>5</w:t>
      </w:r>
      <w:r>
        <w:rPr>
          <w:rFonts w:hint="eastAsia" w:ascii="方正仿宋_GBK" w:hAnsi="方正仿宋_GBK" w:eastAsia="方正仿宋_GBK" w:cs="方正仿宋_GBK"/>
          <w:color w:val="auto"/>
          <w:sz w:val="32"/>
          <w:szCs w:val="32"/>
        </w:rPr>
        <w:t>年高职</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lang w:val="en-US" w:eastAsia="zh-CN"/>
        </w:rPr>
        <w:t>高专</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院校单独招生工作的通知》（湘教</w:t>
      </w:r>
      <w:r>
        <w:rPr>
          <w:rFonts w:hint="eastAsia" w:ascii="方正仿宋_GBK" w:hAnsi="方正仿宋_GBK" w:eastAsia="方正仿宋_GBK" w:cs="方正仿宋_GBK"/>
          <w:color w:val="auto"/>
          <w:sz w:val="32"/>
          <w:szCs w:val="32"/>
          <w:lang w:val="en-US" w:eastAsia="zh-CN"/>
        </w:rPr>
        <w:t>通</w:t>
      </w:r>
      <w:r>
        <w:rPr>
          <w:rFonts w:hint="eastAsia" w:ascii="方正仿宋_GBK" w:hAnsi="方正仿宋_GBK" w:eastAsia="方正仿宋_GBK" w:cs="方正仿宋_GBK"/>
          <w:color w:val="auto"/>
          <w:sz w:val="32"/>
          <w:szCs w:val="32"/>
        </w:rPr>
        <w:t>〔202</w:t>
      </w:r>
      <w:r>
        <w:rPr>
          <w:rFonts w:hint="eastAsia" w:ascii="方正仿宋_GBK" w:hAnsi="方正仿宋_GBK" w:eastAsia="方正仿宋_GBK" w:cs="方正仿宋_GBK"/>
          <w:color w:val="auto"/>
          <w:sz w:val="32"/>
          <w:szCs w:val="32"/>
          <w:lang w:val="en-US" w:eastAsia="zh-CN"/>
        </w:rPr>
        <w:t>4</w:t>
      </w:r>
      <w:r>
        <w:rPr>
          <w:rFonts w:hint="eastAsia" w:ascii="方正仿宋_GBK" w:hAnsi="方正仿宋_GBK" w:eastAsia="方正仿宋_GBK" w:cs="方正仿宋_GBK"/>
          <w:color w:val="auto"/>
          <w:sz w:val="32"/>
          <w:szCs w:val="32"/>
        </w:rPr>
        <w:t>〕</w:t>
      </w:r>
      <w:r>
        <w:rPr>
          <w:rFonts w:hint="eastAsia" w:ascii="方正仿宋_GBK" w:hAnsi="方正仿宋_GBK" w:eastAsia="方正仿宋_GBK" w:cs="方正仿宋_GBK"/>
          <w:color w:val="auto"/>
          <w:sz w:val="32"/>
          <w:szCs w:val="32"/>
          <w:lang w:val="en-US" w:eastAsia="zh-CN"/>
        </w:rPr>
        <w:t>271</w:t>
      </w:r>
      <w:r>
        <w:rPr>
          <w:rFonts w:hint="eastAsia" w:ascii="方正仿宋_GBK" w:hAnsi="方正仿宋_GBK" w:eastAsia="方正仿宋_GBK" w:cs="方正仿宋_GBK"/>
          <w:color w:val="auto"/>
          <w:sz w:val="32"/>
          <w:szCs w:val="32"/>
        </w:rPr>
        <w:t>号）</w:t>
      </w:r>
      <w:r>
        <w:rPr>
          <w:rFonts w:hint="eastAsia" w:ascii="方正仿宋_GBK" w:hAnsi="方正仿宋_GBK" w:eastAsia="方正仿宋_GBK" w:cs="方正仿宋_GBK"/>
          <w:color w:val="auto"/>
          <w:sz w:val="32"/>
          <w:szCs w:val="32"/>
          <w:lang w:val="en-US" w:eastAsia="zh-CN"/>
        </w:rPr>
        <w:t>有关要求</w:t>
      </w:r>
      <w:r>
        <w:rPr>
          <w:rFonts w:hint="eastAsia" w:ascii="方正仿宋_GBK" w:hAnsi="方正仿宋_GBK" w:eastAsia="方正仿宋_GBK" w:cs="方正仿宋_GBK"/>
          <w:color w:val="auto"/>
          <w:sz w:val="32"/>
          <w:szCs w:val="32"/>
        </w:rPr>
        <w:t>，结合学院单独招生工作</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lang w:val="en-US" w:eastAsia="zh-CN"/>
        </w:rPr>
        <w:t>以下简称单招</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实际，特制定本章程。</w:t>
      </w:r>
    </w:p>
    <w:p w14:paraId="56AA348B">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lang w:val="en-US" w:eastAsia="zh-CN"/>
        </w:rPr>
        <w:t>全</w:t>
      </w:r>
      <w:r>
        <w:rPr>
          <w:rFonts w:hint="eastAsia" w:ascii="方正仿宋_GBK" w:hAnsi="方正仿宋_GBK" w:eastAsia="方正仿宋_GBK" w:cs="方正仿宋_GBK"/>
          <w:color w:val="auto"/>
          <w:sz w:val="32"/>
          <w:szCs w:val="32"/>
        </w:rPr>
        <w:t>称</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lang w:val="en-US" w:eastAsia="zh-CN"/>
        </w:rPr>
        <w:t>长沙电力职业技术学院</w:t>
      </w:r>
    </w:p>
    <w:p w14:paraId="5C836CFE">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办学地点</w:t>
      </w:r>
      <w:r>
        <w:rPr>
          <w:rFonts w:hint="eastAsia" w:ascii="方正仿宋_GBK" w:hAnsi="方正仿宋_GBK" w:eastAsia="方正仿宋_GBK" w:cs="方正仿宋_GBK"/>
          <w:color w:val="auto"/>
          <w:sz w:val="32"/>
          <w:szCs w:val="32"/>
        </w:rPr>
        <w:t>：</w:t>
      </w:r>
      <w:r>
        <w:rPr>
          <w:rFonts w:hint="eastAsia" w:ascii="方正仿宋_GBK" w:hAnsi="方正仿宋_GBK" w:eastAsia="方正仿宋_GBK" w:cs="方正仿宋_GBK"/>
          <w:color w:val="auto"/>
          <w:sz w:val="32"/>
          <w:szCs w:val="32"/>
          <w:lang w:val="en-US" w:eastAsia="zh-CN"/>
        </w:rPr>
        <w:t>长沙市</w:t>
      </w:r>
    </w:p>
    <w:p w14:paraId="76053704">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u w:val="none"/>
          <w:lang w:val="en-US" w:eastAsia="zh-CN"/>
        </w:rPr>
      </w:pPr>
      <w:r>
        <w:rPr>
          <w:rFonts w:hint="eastAsia" w:ascii="方正仿宋_GBK" w:hAnsi="方正仿宋_GBK" w:eastAsia="方正仿宋_GBK" w:cs="方正仿宋_GBK"/>
          <w:color w:val="auto"/>
          <w:sz w:val="32"/>
          <w:szCs w:val="32"/>
          <w:lang w:val="en-US" w:eastAsia="zh-CN"/>
        </w:rPr>
        <w:t>主管部门：</w:t>
      </w:r>
      <w:r>
        <w:rPr>
          <w:rFonts w:hint="eastAsia" w:ascii="方正仿宋_GBK" w:hAnsi="方正仿宋_GBK" w:eastAsia="方正仿宋_GBK" w:cs="方正仿宋_GBK"/>
          <w:color w:val="auto"/>
          <w:sz w:val="32"/>
          <w:szCs w:val="32"/>
          <w:u w:val="none"/>
          <w:lang w:val="en-US" w:eastAsia="zh-CN"/>
        </w:rPr>
        <w:t>国网湖南省电力有限公司</w:t>
      </w:r>
    </w:p>
    <w:p w14:paraId="20B614C9">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办学层次：</w:t>
      </w:r>
      <w:r>
        <w:rPr>
          <w:rFonts w:hint="eastAsia" w:ascii="方正仿宋_GBK" w:hAnsi="方正仿宋_GBK" w:eastAsia="方正仿宋_GBK" w:cs="方正仿宋_GBK"/>
          <w:color w:val="auto"/>
          <w:sz w:val="32"/>
          <w:szCs w:val="32"/>
          <w:u w:val="none"/>
          <w:lang w:val="en-US" w:eastAsia="zh-CN"/>
        </w:rPr>
        <w:t>高职</w:t>
      </w:r>
      <w:r>
        <w:rPr>
          <w:rFonts w:hint="eastAsia" w:ascii="方正仿宋_GBK" w:hAnsi="方正仿宋_GBK" w:eastAsia="方正仿宋_GBK" w:cs="方正仿宋_GBK"/>
          <w:color w:val="auto"/>
          <w:sz w:val="32"/>
          <w:szCs w:val="32"/>
          <w:u w:val="none"/>
          <w:lang w:eastAsia="zh-CN"/>
        </w:rPr>
        <w:t>（</w:t>
      </w:r>
      <w:r>
        <w:rPr>
          <w:rFonts w:hint="eastAsia" w:ascii="方正仿宋_GBK" w:hAnsi="方正仿宋_GBK" w:eastAsia="方正仿宋_GBK" w:cs="方正仿宋_GBK"/>
          <w:color w:val="auto"/>
          <w:sz w:val="32"/>
          <w:szCs w:val="32"/>
          <w:u w:val="none"/>
          <w:lang w:val="en-US" w:eastAsia="zh-CN"/>
        </w:rPr>
        <w:t>专科</w:t>
      </w:r>
      <w:r>
        <w:rPr>
          <w:rFonts w:hint="eastAsia" w:ascii="方正仿宋_GBK" w:hAnsi="方正仿宋_GBK" w:eastAsia="方正仿宋_GBK" w:cs="方正仿宋_GBK"/>
          <w:color w:val="auto"/>
          <w:sz w:val="32"/>
          <w:szCs w:val="32"/>
          <w:u w:val="none"/>
          <w:lang w:eastAsia="zh-CN"/>
        </w:rPr>
        <w:t>）</w:t>
      </w:r>
    </w:p>
    <w:p w14:paraId="643DD879">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湖南省院校代号：4768</w:t>
      </w:r>
    </w:p>
    <w:p w14:paraId="156A4520">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lang w:val="en-US" w:eastAsia="zh-CN"/>
        </w:rPr>
        <w:t>办学类型：</w:t>
      </w:r>
      <w:r>
        <w:rPr>
          <w:rFonts w:hint="eastAsia" w:ascii="方正仿宋_GBK" w:hAnsi="方正仿宋_GBK" w:eastAsia="方正仿宋_GBK" w:cs="方正仿宋_GBK"/>
          <w:color w:val="auto"/>
          <w:sz w:val="32"/>
          <w:szCs w:val="32"/>
          <w:u w:val="none"/>
          <w:lang w:val="en-US" w:eastAsia="zh-CN"/>
        </w:rPr>
        <w:t xml:space="preserve">公办         </w:t>
      </w:r>
    </w:p>
    <w:p w14:paraId="634CC075">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rPr>
        <w:t>颁发学历证书的</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名称</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lang w:val="en-US" w:eastAsia="zh-CN"/>
        </w:rPr>
        <w:t>长沙电力职业技术学院</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证书种类</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u w:val="none"/>
        </w:rPr>
        <w:t>普通</w:t>
      </w:r>
      <w:r>
        <w:rPr>
          <w:rFonts w:hint="eastAsia" w:ascii="方正仿宋_GBK" w:hAnsi="方正仿宋_GBK" w:eastAsia="方正仿宋_GBK" w:cs="方正仿宋_GBK"/>
          <w:color w:val="auto"/>
          <w:sz w:val="32"/>
          <w:szCs w:val="32"/>
          <w:u w:val="none"/>
          <w:lang w:eastAsia="zh-CN"/>
        </w:rPr>
        <w:t>高等学校</w:t>
      </w:r>
      <w:r>
        <w:rPr>
          <w:rFonts w:hint="eastAsia" w:ascii="方正仿宋_GBK" w:hAnsi="方正仿宋_GBK" w:eastAsia="方正仿宋_GBK" w:cs="方正仿宋_GBK"/>
          <w:color w:val="auto"/>
          <w:sz w:val="32"/>
          <w:szCs w:val="32"/>
          <w:u w:val="none"/>
        </w:rPr>
        <w:t>全日制专科毕业证书</w:t>
      </w:r>
      <w:r>
        <w:rPr>
          <w:rFonts w:hint="eastAsia" w:ascii="方正仿宋_GBK" w:hAnsi="方正仿宋_GBK" w:eastAsia="方正仿宋_GBK" w:cs="方正仿宋_GBK"/>
          <w:color w:val="auto"/>
          <w:sz w:val="32"/>
          <w:szCs w:val="32"/>
          <w:u w:val="none"/>
          <w:lang w:eastAsia="zh-CN"/>
        </w:rPr>
        <w:t>。</w:t>
      </w:r>
    </w:p>
    <w:p w14:paraId="0FBBB2EB">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学院</w:t>
      </w:r>
      <w:r>
        <w:rPr>
          <w:rFonts w:hint="eastAsia" w:ascii="方正仿宋_GBK" w:hAnsi="方正仿宋_GBK" w:eastAsia="方正仿宋_GBK" w:cs="方正仿宋_GBK"/>
          <w:color w:val="auto"/>
          <w:sz w:val="32"/>
          <w:szCs w:val="32"/>
          <w:lang w:val="en-US" w:eastAsia="zh-CN"/>
        </w:rPr>
        <w:t>单招</w:t>
      </w:r>
      <w:r>
        <w:rPr>
          <w:rFonts w:hint="eastAsia" w:ascii="方正仿宋_GBK" w:hAnsi="方正仿宋_GBK" w:eastAsia="方正仿宋_GBK" w:cs="方正仿宋_GBK"/>
          <w:color w:val="auto"/>
          <w:sz w:val="32"/>
          <w:szCs w:val="32"/>
        </w:rPr>
        <w:t>工作遵循“公平竞争、公</w:t>
      </w:r>
      <w:r>
        <w:rPr>
          <w:rFonts w:hint="eastAsia" w:ascii="方正仿宋_GBK" w:hAnsi="方正仿宋_GBK" w:eastAsia="方正仿宋_GBK" w:cs="方正仿宋_GBK"/>
          <w:color w:val="auto"/>
          <w:sz w:val="32"/>
          <w:szCs w:val="32"/>
          <w:lang w:val="en-US" w:eastAsia="zh-CN"/>
        </w:rPr>
        <w:t>正</w:t>
      </w:r>
      <w:r>
        <w:rPr>
          <w:rFonts w:hint="eastAsia" w:ascii="方正仿宋_GBK" w:hAnsi="方正仿宋_GBK" w:eastAsia="方正仿宋_GBK" w:cs="方正仿宋_GBK"/>
          <w:color w:val="auto"/>
          <w:sz w:val="32"/>
          <w:szCs w:val="32"/>
        </w:rPr>
        <w:t>选拔、公开</w:t>
      </w:r>
      <w:r>
        <w:rPr>
          <w:rFonts w:hint="eastAsia" w:ascii="方正仿宋_GBK" w:hAnsi="方正仿宋_GBK" w:eastAsia="方正仿宋_GBK" w:cs="方正仿宋_GBK"/>
          <w:color w:val="auto"/>
          <w:sz w:val="32"/>
          <w:szCs w:val="32"/>
          <w:lang w:val="en-US" w:eastAsia="zh-CN"/>
        </w:rPr>
        <w:t>透明</w:t>
      </w:r>
      <w:r>
        <w:rPr>
          <w:rFonts w:hint="eastAsia" w:ascii="方正仿宋_GBK" w:hAnsi="方正仿宋_GBK" w:eastAsia="方正仿宋_GBK" w:cs="方正仿宋_GBK"/>
          <w:color w:val="auto"/>
          <w:sz w:val="32"/>
          <w:szCs w:val="32"/>
        </w:rPr>
        <w:t>”的原则</w:t>
      </w:r>
      <w:r>
        <w:rPr>
          <w:rFonts w:hint="eastAsia" w:ascii="方正仿宋_GBK" w:hAnsi="方正仿宋_GBK" w:eastAsia="方正仿宋_GBK" w:cs="方正仿宋_GBK"/>
          <w:color w:val="auto"/>
          <w:sz w:val="32"/>
          <w:szCs w:val="32"/>
          <w:lang w:eastAsia="zh-CN"/>
        </w:rPr>
        <w:t>，坚决执行招生政策规定和纪律要求，严格</w:t>
      </w:r>
      <w:r>
        <w:rPr>
          <w:rFonts w:hint="eastAsia" w:ascii="方正仿宋_GBK" w:hAnsi="方正仿宋_GBK" w:eastAsia="方正仿宋_GBK" w:cs="方正仿宋_GBK"/>
          <w:color w:val="auto"/>
          <w:sz w:val="32"/>
          <w:szCs w:val="32"/>
          <w:lang w:val="en-US" w:eastAsia="zh-CN"/>
        </w:rPr>
        <w:t>实施考试招生“阳光工程”</w:t>
      </w:r>
      <w:r>
        <w:rPr>
          <w:rFonts w:hint="eastAsia" w:ascii="方正仿宋_GBK" w:hAnsi="方正仿宋_GBK" w:eastAsia="方正仿宋_GBK" w:cs="方正仿宋_GBK"/>
          <w:color w:val="auto"/>
          <w:sz w:val="32"/>
          <w:szCs w:val="32"/>
        </w:rPr>
        <w:t>。</w:t>
      </w:r>
    </w:p>
    <w:p w14:paraId="584A8541">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5"/>
        <w:jc w:val="both"/>
        <w:outlineLvl w:val="9"/>
        <w:rPr>
          <w:rFonts w:hint="eastAsia" w:ascii="方正仿宋_GBK" w:hAnsi="方正仿宋_GBK" w:eastAsia="方正仿宋_GBK" w:cs="方正仿宋_GBK"/>
          <w:color w:val="auto"/>
          <w:kern w:val="2"/>
          <w:sz w:val="32"/>
          <w:szCs w:val="32"/>
          <w:lang w:val="en-US" w:eastAsia="zh-CN" w:bidi="ar-SA"/>
        </w:rPr>
      </w:pPr>
      <w:r>
        <w:rPr>
          <w:rFonts w:hint="eastAsia" w:ascii="方正仿宋_GBK" w:hAnsi="方正仿宋_GBK" w:eastAsia="方正仿宋_GBK" w:cs="方正仿宋_GBK"/>
          <w:b/>
          <w:bCs/>
          <w:color w:val="auto"/>
          <w:sz w:val="32"/>
          <w:szCs w:val="32"/>
          <w:lang w:val="en-US" w:eastAsia="zh-CN"/>
        </w:rPr>
        <w:t xml:space="preserve">第五条 </w:t>
      </w:r>
      <w:r>
        <w:rPr>
          <w:rFonts w:hint="eastAsia" w:ascii="方正仿宋_GBK" w:hAnsi="方正仿宋_GBK" w:eastAsia="方正仿宋_GBK" w:cs="方正仿宋_GBK"/>
          <w:color w:val="auto"/>
          <w:sz w:val="32"/>
          <w:szCs w:val="32"/>
        </w:rPr>
        <w:t>学院</w:t>
      </w:r>
      <w:r>
        <w:rPr>
          <w:rFonts w:hint="eastAsia" w:ascii="方正仿宋_GBK" w:hAnsi="方正仿宋_GBK" w:eastAsia="方正仿宋_GBK" w:cs="方正仿宋_GBK"/>
          <w:color w:val="auto"/>
          <w:sz w:val="32"/>
          <w:szCs w:val="32"/>
          <w:lang w:eastAsia="zh-CN"/>
        </w:rPr>
        <w:t>简介：</w:t>
      </w:r>
      <w:r>
        <w:rPr>
          <w:rFonts w:hint="eastAsia" w:ascii="方正仿宋_GBK" w:hAnsi="方正仿宋_GBK" w:eastAsia="方正仿宋_GBK" w:cs="方正仿宋_GBK"/>
          <w:color w:val="auto"/>
          <w:kern w:val="2"/>
          <w:sz w:val="32"/>
          <w:szCs w:val="32"/>
          <w:lang w:val="en-US" w:eastAsia="zh-CN" w:bidi="ar-SA"/>
        </w:rPr>
        <w:t>长沙电力职业技术学院是湖南省唯一的电力类公办全日制普通高校，隶属于国网湖南省电力有限公司，教育业务由湖南省教育厅管理。学院坚持“立足电网、服务公司、奉献社会”的办学定位，突出内涵发展、特色发展、创新驱动发展，借助企业办学优势，持续深化产教融合、校企合作，办学以来，共为电力行业及社会输送了5万余名各类技术技能和管理人才。</w:t>
      </w:r>
    </w:p>
    <w:p w14:paraId="1BF426E5">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outlineLvl w:val="9"/>
        <w:rPr>
          <w:rFonts w:hint="eastAsia" w:ascii="方正黑体_GBK" w:hAnsi="方正黑体_GBK" w:eastAsia="方正黑体_GBK" w:cs="方正黑体_GBK"/>
          <w:b w:val="0"/>
          <w:bCs w:val="0"/>
          <w:color w:val="auto"/>
          <w:sz w:val="32"/>
          <w:szCs w:val="32"/>
        </w:rPr>
      </w:pPr>
      <w:r>
        <w:rPr>
          <w:rFonts w:hint="eastAsia" w:ascii="方正黑体_GBK" w:hAnsi="方正黑体_GBK" w:eastAsia="方正黑体_GBK" w:cs="方正黑体_GBK"/>
          <w:b w:val="0"/>
          <w:bCs w:val="0"/>
          <w:color w:val="auto"/>
          <w:sz w:val="32"/>
          <w:szCs w:val="32"/>
        </w:rPr>
        <w:t>组织机构及职责</w:t>
      </w:r>
    </w:p>
    <w:p w14:paraId="6F4E6340">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val="en-US" w:eastAsia="zh-CN"/>
        </w:rPr>
        <w:t xml:space="preserve">第六条 </w:t>
      </w:r>
      <w:r>
        <w:rPr>
          <w:rFonts w:hint="eastAsia" w:ascii="方正仿宋_GBK" w:hAnsi="方正仿宋_GBK" w:eastAsia="方正仿宋_GBK" w:cs="方正仿宋_GBK"/>
          <w:color w:val="auto"/>
          <w:sz w:val="32"/>
          <w:szCs w:val="32"/>
          <w:lang w:val="en-US" w:eastAsia="zh-CN"/>
        </w:rPr>
        <w:t>学院成立由主要领导、分管领导以及有关部门负责人组成的学院单独招生工作领导小组负责研究决定本校单招规模确定、政策制订等重大事项</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u w:val="none"/>
          <w:lang w:eastAsia="zh-CN"/>
        </w:rPr>
        <w:t>招生就业处</w:t>
      </w:r>
      <w:r>
        <w:rPr>
          <w:rFonts w:hint="eastAsia" w:ascii="方正仿宋_GBK" w:hAnsi="方正仿宋_GBK" w:eastAsia="方正仿宋_GBK" w:cs="方正仿宋_GBK"/>
          <w:color w:val="auto"/>
          <w:sz w:val="32"/>
          <w:szCs w:val="32"/>
        </w:rPr>
        <w:t>负责单招</w:t>
      </w:r>
      <w:r>
        <w:rPr>
          <w:rFonts w:hint="eastAsia" w:ascii="方正仿宋_GBK" w:hAnsi="方正仿宋_GBK" w:eastAsia="方正仿宋_GBK" w:cs="方正仿宋_GBK"/>
          <w:color w:val="auto"/>
          <w:sz w:val="32"/>
          <w:szCs w:val="32"/>
          <w:lang w:val="en-US" w:eastAsia="zh-CN"/>
        </w:rPr>
        <w:t>组织实施</w:t>
      </w:r>
      <w:r>
        <w:rPr>
          <w:rFonts w:hint="eastAsia" w:ascii="方正仿宋_GBK" w:hAnsi="方正仿宋_GBK" w:eastAsia="方正仿宋_GBK" w:cs="方正仿宋_GBK"/>
          <w:color w:val="auto"/>
          <w:sz w:val="32"/>
          <w:szCs w:val="32"/>
        </w:rPr>
        <w:t>的日常工作，</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b w:val="0"/>
          <w:bCs w:val="0"/>
          <w:color w:val="auto"/>
          <w:sz w:val="32"/>
          <w:szCs w:val="32"/>
          <w:u w:val="none"/>
          <w:lang w:val="en-US" w:eastAsia="zh-CN"/>
        </w:rPr>
        <w:t>教务处</w:t>
      </w:r>
      <w:r>
        <w:rPr>
          <w:rFonts w:hint="eastAsia" w:ascii="方正仿宋_GBK" w:hAnsi="方正仿宋_GBK" w:eastAsia="方正仿宋_GBK" w:cs="方正仿宋_GBK"/>
          <w:color w:val="auto"/>
          <w:sz w:val="32"/>
          <w:szCs w:val="32"/>
        </w:rPr>
        <w:t>负责单招的考试</w:t>
      </w:r>
      <w:r>
        <w:rPr>
          <w:rFonts w:hint="eastAsia" w:ascii="方正仿宋_GBK" w:hAnsi="方正仿宋_GBK" w:eastAsia="方正仿宋_GBK" w:cs="方正仿宋_GBK"/>
          <w:color w:val="auto"/>
          <w:sz w:val="32"/>
          <w:szCs w:val="32"/>
          <w:lang w:eastAsia="zh-CN"/>
        </w:rPr>
        <w:t>组织</w:t>
      </w:r>
      <w:r>
        <w:rPr>
          <w:rFonts w:hint="eastAsia" w:ascii="方正仿宋_GBK" w:hAnsi="方正仿宋_GBK" w:eastAsia="方正仿宋_GBK" w:cs="方正仿宋_GBK"/>
          <w:color w:val="auto"/>
          <w:sz w:val="32"/>
          <w:szCs w:val="32"/>
        </w:rPr>
        <w:t>工作。</w:t>
      </w:r>
    </w:p>
    <w:p w14:paraId="60440938">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val="en-US" w:eastAsia="zh-CN"/>
        </w:rPr>
        <w:t xml:space="preserve">第七条 </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lang w:val="en-US" w:eastAsia="zh-CN"/>
        </w:rPr>
        <w:t>纪委负责全程监督检查单招工作</w:t>
      </w:r>
      <w:r>
        <w:rPr>
          <w:rFonts w:hint="eastAsia" w:ascii="方正仿宋_GBK" w:hAnsi="方正仿宋_GBK" w:eastAsia="方正仿宋_GBK" w:cs="方正仿宋_GBK"/>
          <w:color w:val="auto"/>
          <w:sz w:val="32"/>
          <w:szCs w:val="32"/>
        </w:rPr>
        <w:t>。</w:t>
      </w:r>
    </w:p>
    <w:p w14:paraId="2ADB44C2">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outlineLvl w:val="9"/>
        <w:rPr>
          <w:rFonts w:hint="eastAsia" w:ascii="方正黑体_GBK" w:hAnsi="方正黑体_GBK" w:eastAsia="方正黑体_GBK" w:cs="方正黑体_GBK"/>
          <w:b w:val="0"/>
          <w:bCs w:val="0"/>
          <w:color w:val="auto"/>
          <w:sz w:val="32"/>
          <w:szCs w:val="32"/>
        </w:rPr>
      </w:pPr>
      <w:r>
        <w:rPr>
          <w:rFonts w:hint="eastAsia" w:ascii="方正黑体_GBK" w:hAnsi="方正黑体_GBK" w:eastAsia="方正黑体_GBK" w:cs="方正黑体_GBK"/>
          <w:b w:val="0"/>
          <w:bCs w:val="0"/>
          <w:color w:val="auto"/>
          <w:sz w:val="32"/>
          <w:szCs w:val="32"/>
          <w:lang w:val="en-US" w:eastAsia="zh-CN"/>
        </w:rPr>
        <w:t>单招报考</w:t>
      </w:r>
    </w:p>
    <w:p w14:paraId="3C221AEA">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 xml:space="preserve">第八条 </w:t>
      </w:r>
      <w:r>
        <w:rPr>
          <w:rFonts w:hint="eastAsia" w:ascii="方正仿宋_GBK" w:hAnsi="方正仿宋_GBK" w:eastAsia="方正仿宋_GBK" w:cs="方正仿宋_GBK"/>
          <w:color w:val="auto"/>
          <w:sz w:val="32"/>
          <w:szCs w:val="32"/>
          <w:lang w:val="en-US" w:eastAsia="zh-CN"/>
        </w:rPr>
        <w:t>高职单招的对象为符合我省高考报名条件并已进行高考报名的学生，未报名的学生不得参加高职单招，2025年起不组织高考补报名。</w:t>
      </w:r>
    </w:p>
    <w:p w14:paraId="55BBE204">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val="en-US" w:eastAsia="zh-CN"/>
        </w:rPr>
        <w:t xml:space="preserve">第九条 </w:t>
      </w:r>
      <w:r>
        <w:rPr>
          <w:rFonts w:hint="eastAsia" w:ascii="方正仿宋_GBK" w:hAnsi="方正仿宋_GBK" w:eastAsia="方正仿宋_GBK" w:cs="方正仿宋_GBK"/>
          <w:color w:val="auto"/>
          <w:sz w:val="32"/>
          <w:szCs w:val="32"/>
          <w:lang w:val="en-US" w:eastAsia="zh-CN"/>
        </w:rPr>
        <w:t>全省</w:t>
      </w:r>
      <w:r>
        <w:rPr>
          <w:rFonts w:hint="eastAsia" w:ascii="方正仿宋_GBK" w:hAnsi="方正仿宋_GBK" w:eastAsia="方正仿宋_GBK" w:cs="方正仿宋_GBK"/>
          <w:color w:val="auto"/>
          <w:sz w:val="32"/>
          <w:szCs w:val="32"/>
        </w:rPr>
        <w:t>单招</w:t>
      </w:r>
      <w:r>
        <w:rPr>
          <w:rFonts w:hint="eastAsia" w:ascii="方正仿宋_GBK" w:hAnsi="方正仿宋_GBK" w:eastAsia="方正仿宋_GBK" w:cs="方正仿宋_GBK"/>
          <w:color w:val="auto"/>
          <w:sz w:val="32"/>
          <w:szCs w:val="32"/>
          <w:lang w:val="en-US" w:eastAsia="zh-CN"/>
        </w:rPr>
        <w:t>统一报考和填报志愿时间自2月18日8:00开始，至2月25日17:00结束，实行网上报考和填报志愿。</w:t>
      </w:r>
      <w:r>
        <w:rPr>
          <w:rFonts w:hint="eastAsia" w:ascii="方正仿宋_GBK" w:hAnsi="方正仿宋_GBK" w:eastAsia="方正仿宋_GBK" w:cs="方正仿宋_GBK"/>
          <w:color w:val="auto"/>
          <w:sz w:val="32"/>
          <w:szCs w:val="32"/>
        </w:rPr>
        <w:t>单招报考设第一志愿和第二志愿，考生可</w:t>
      </w:r>
      <w:r>
        <w:rPr>
          <w:rFonts w:hint="eastAsia" w:ascii="方正仿宋_GBK" w:hAnsi="方正仿宋_GBK" w:eastAsia="方正仿宋_GBK" w:cs="方正仿宋_GBK"/>
          <w:color w:val="auto"/>
          <w:sz w:val="32"/>
          <w:szCs w:val="32"/>
          <w:lang w:val="en-US" w:eastAsia="zh-CN"/>
        </w:rPr>
        <w:t>根据自己意愿分别填报1所高职院校</w:t>
      </w:r>
      <w:r>
        <w:rPr>
          <w:rFonts w:hint="eastAsia" w:ascii="方正仿宋_GBK" w:hAnsi="方正仿宋_GBK" w:eastAsia="方正仿宋_GBK" w:cs="方正仿宋_GBK"/>
          <w:color w:val="auto"/>
          <w:sz w:val="32"/>
          <w:szCs w:val="32"/>
          <w:lang w:eastAsia="zh-CN"/>
        </w:rPr>
        <w:t>。</w:t>
      </w:r>
    </w:p>
    <w:p w14:paraId="67713D5B">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lang w:val="en-US" w:eastAsia="zh-CN"/>
        </w:rPr>
        <w:t>在此期间，考生</w:t>
      </w:r>
      <w:r>
        <w:rPr>
          <w:rFonts w:hint="eastAsia" w:ascii="方正仿宋_GBK" w:hAnsi="方正仿宋_GBK" w:eastAsia="方正仿宋_GBK" w:cs="方正仿宋_GBK"/>
          <w:color w:val="auto"/>
          <w:sz w:val="32"/>
          <w:szCs w:val="32"/>
        </w:rPr>
        <w:t>可登录湖南省普通高校招生考试考生综合信息平台（以下简称“考生综合信息平台”）（网址：https://ks.hneao.cn）或“潇湘高考”APP（通过苹果应用商店、腾讯应用宝、华为应用商店、小米应用商店或“湖南省普通高校招生考试考生综合信息平台”首页下载APP）填报报考志愿信息</w:t>
      </w:r>
      <w:r>
        <w:rPr>
          <w:rFonts w:hint="eastAsia" w:ascii="方正仿宋_GBK" w:hAnsi="方正仿宋_GBK" w:eastAsia="方正仿宋_GBK" w:cs="方正仿宋_GBK"/>
          <w:color w:val="auto"/>
          <w:kern w:val="2"/>
          <w:sz w:val="32"/>
          <w:szCs w:val="32"/>
          <w:u w:val="none"/>
          <w:lang w:val="en-US" w:eastAsia="zh-CN" w:bidi="ar-SA"/>
        </w:rPr>
        <w:t>。</w:t>
      </w:r>
      <w:r>
        <w:rPr>
          <w:rFonts w:hint="eastAsia" w:ascii="方正仿宋_GBK" w:hAnsi="方正仿宋_GBK" w:eastAsia="方正仿宋_GBK" w:cs="方正仿宋_GBK"/>
          <w:color w:val="auto"/>
          <w:sz w:val="32"/>
          <w:szCs w:val="32"/>
          <w:lang w:val="en-US" w:eastAsia="zh-CN"/>
        </w:rPr>
        <w:t>请考生在报考前关注学院招生信息网（http://zsxx.cseptc.net/）公布的有关信息。</w:t>
      </w:r>
    </w:p>
    <w:p w14:paraId="45E65D61">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第十条</w:t>
      </w:r>
      <w:r>
        <w:rPr>
          <w:rFonts w:hint="eastAsia" w:ascii="方正仿宋_GBK" w:hAnsi="方正仿宋_GBK" w:eastAsia="方正仿宋_GBK" w:cs="方正仿宋_GBK"/>
          <w:color w:val="auto"/>
          <w:sz w:val="32"/>
          <w:szCs w:val="32"/>
          <w:lang w:val="en-US" w:eastAsia="zh-CN"/>
        </w:rPr>
        <w:t xml:space="preserve"> 填报专业要求。考生在填报学院志愿时，需选择2个专业，并确定是否选择专业服从调剂。</w:t>
      </w:r>
    </w:p>
    <w:p w14:paraId="7C6FD2D6">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eastAsia="zh-CN"/>
        </w:rPr>
        <w:t>第十一条</w:t>
      </w:r>
      <w:r>
        <w:rPr>
          <w:rFonts w:hint="eastAsia" w:ascii="方正仿宋_GBK" w:hAnsi="方正仿宋_GBK" w:eastAsia="方正仿宋_GBK" w:cs="方正仿宋_GBK"/>
          <w:b/>
          <w:bCs/>
          <w:color w:val="auto"/>
          <w:sz w:val="32"/>
          <w:szCs w:val="32"/>
          <w:lang w:val="en-US" w:eastAsia="zh-CN"/>
        </w:rPr>
        <w:t xml:space="preserve"> </w:t>
      </w:r>
      <w:r>
        <w:rPr>
          <w:rFonts w:hint="eastAsia" w:ascii="方正仿宋_GBK" w:hAnsi="方正仿宋_GBK" w:eastAsia="方正仿宋_GBK" w:cs="方正仿宋_GBK"/>
          <w:color w:val="auto"/>
          <w:sz w:val="32"/>
          <w:szCs w:val="32"/>
          <w:lang w:val="en-US" w:eastAsia="zh-CN"/>
        </w:rPr>
        <w:t>退役军人</w:t>
      </w:r>
      <w:r>
        <w:rPr>
          <w:rFonts w:hint="eastAsia" w:ascii="方正仿宋_GBK" w:hAnsi="方正仿宋_GBK" w:eastAsia="方正仿宋_GBK" w:cs="方正仿宋_GBK"/>
          <w:color w:val="auto"/>
          <w:sz w:val="32"/>
          <w:szCs w:val="32"/>
        </w:rPr>
        <w:t>身份认定。</w:t>
      </w:r>
      <w:r>
        <w:rPr>
          <w:rFonts w:hint="eastAsia" w:ascii="方正仿宋_GBK" w:hAnsi="方正仿宋_GBK" w:eastAsia="方正仿宋_GBK" w:cs="方正仿宋_GBK"/>
          <w:color w:val="auto"/>
          <w:sz w:val="32"/>
          <w:szCs w:val="32"/>
          <w:lang w:val="en-US" w:eastAsia="zh-CN"/>
        </w:rPr>
        <w:t>退役军人考生身份</w:t>
      </w:r>
      <w:r>
        <w:rPr>
          <w:rFonts w:hint="eastAsia" w:ascii="方正仿宋_GBK" w:hAnsi="方正仿宋_GBK" w:eastAsia="方正仿宋_GBK" w:cs="方正仿宋_GBK"/>
          <w:color w:val="auto"/>
          <w:sz w:val="32"/>
          <w:szCs w:val="32"/>
        </w:rPr>
        <w:t>由户籍所在县（市、区）退役军人事务部门进行认定</w:t>
      </w:r>
      <w:r>
        <w:rPr>
          <w:rFonts w:hint="eastAsia" w:ascii="方正仿宋_GBK" w:hAnsi="方正仿宋_GBK" w:eastAsia="方正仿宋_GBK" w:cs="方正仿宋_GBK"/>
          <w:color w:val="auto"/>
          <w:sz w:val="32"/>
          <w:szCs w:val="32"/>
          <w:lang w:eastAsia="zh-CN"/>
        </w:rPr>
        <w:t>，相关</w:t>
      </w:r>
      <w:r>
        <w:rPr>
          <w:rFonts w:hint="eastAsia" w:ascii="方正仿宋_GBK" w:hAnsi="方正仿宋_GBK" w:eastAsia="方正仿宋_GBK" w:cs="方正仿宋_GBK"/>
          <w:color w:val="auto"/>
          <w:sz w:val="32"/>
          <w:szCs w:val="32"/>
        </w:rPr>
        <w:t>证明材料由考生在规定时间内提供给</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审核</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不能</w:t>
      </w:r>
      <w:r>
        <w:rPr>
          <w:rFonts w:hint="eastAsia" w:ascii="方正仿宋_GBK" w:hAnsi="方正仿宋_GBK" w:eastAsia="方正仿宋_GBK" w:cs="方正仿宋_GBK"/>
          <w:color w:val="auto"/>
          <w:sz w:val="32"/>
          <w:szCs w:val="32"/>
          <w:lang w:eastAsia="zh-CN"/>
        </w:rPr>
        <w:t>按要求</w:t>
      </w:r>
      <w:r>
        <w:rPr>
          <w:rFonts w:hint="eastAsia" w:ascii="方正仿宋_GBK" w:hAnsi="方正仿宋_GBK" w:eastAsia="方正仿宋_GBK" w:cs="方正仿宋_GBK"/>
          <w:color w:val="auto"/>
          <w:sz w:val="32"/>
          <w:szCs w:val="32"/>
        </w:rPr>
        <w:t>提供证明材料的考生只能以普通高中往届生或同等学力人员身份报考，提供虚假证明材料的将依据教育部相关规定取消高考报名资格，已录取的取消录取资格。</w:t>
      </w:r>
    </w:p>
    <w:p w14:paraId="1B404387">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lang w:val="en-US" w:eastAsia="zh-CN"/>
        </w:rPr>
        <w:t>1.退役军人考生</w:t>
      </w:r>
      <w:r>
        <w:rPr>
          <w:rFonts w:hint="eastAsia" w:ascii="方正仿宋_GBK" w:hAnsi="方正仿宋_GBK" w:eastAsia="方正仿宋_GBK" w:cs="方正仿宋_GBK"/>
          <w:color w:val="auto"/>
          <w:sz w:val="32"/>
          <w:szCs w:val="32"/>
        </w:rPr>
        <w:t>资格证明材料</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lang w:val="en-US" w:eastAsia="zh-CN"/>
        </w:rPr>
        <w:t>退役军人</w:t>
      </w:r>
      <w:r>
        <w:rPr>
          <w:rFonts w:hint="eastAsia" w:ascii="方正仿宋_GBK" w:hAnsi="方正仿宋_GBK" w:eastAsia="方正仿宋_GBK" w:cs="方正仿宋_GBK"/>
          <w:color w:val="auto"/>
          <w:sz w:val="32"/>
          <w:szCs w:val="32"/>
          <w:lang w:eastAsia="zh-CN"/>
        </w:rPr>
        <w:t>考生须提供本人身份证复印件及</w:t>
      </w:r>
      <w:r>
        <w:rPr>
          <w:rFonts w:hint="eastAsia" w:ascii="方正仿宋_GBK" w:hAnsi="方正仿宋_GBK" w:eastAsia="方正仿宋_GBK" w:cs="方正仿宋_GBK"/>
          <w:color w:val="auto"/>
          <w:sz w:val="32"/>
          <w:szCs w:val="32"/>
        </w:rPr>
        <w:t>《湖南省202</w:t>
      </w:r>
      <w:r>
        <w:rPr>
          <w:rFonts w:hint="eastAsia" w:ascii="方正仿宋_GBK" w:hAnsi="方正仿宋_GBK" w:eastAsia="方正仿宋_GBK" w:cs="方正仿宋_GBK"/>
          <w:color w:val="auto"/>
          <w:sz w:val="32"/>
          <w:szCs w:val="32"/>
          <w:lang w:val="en-US" w:eastAsia="zh-CN"/>
        </w:rPr>
        <w:t>5</w:t>
      </w:r>
      <w:r>
        <w:rPr>
          <w:rFonts w:hint="eastAsia" w:ascii="方正仿宋_GBK" w:hAnsi="方正仿宋_GBK" w:eastAsia="方正仿宋_GBK" w:cs="方正仿宋_GBK"/>
          <w:color w:val="auto"/>
          <w:sz w:val="32"/>
          <w:szCs w:val="32"/>
        </w:rPr>
        <w:t>年高职单招报名身份审核表》</w:t>
      </w:r>
      <w:r>
        <w:rPr>
          <w:rFonts w:hint="eastAsia" w:ascii="方正仿宋_GBK" w:hAnsi="方正仿宋_GBK" w:eastAsia="方正仿宋_GBK" w:cs="方正仿宋_GBK"/>
          <w:color w:val="auto"/>
          <w:sz w:val="32"/>
          <w:szCs w:val="32"/>
          <w:lang w:eastAsia="zh-CN"/>
        </w:rPr>
        <w:t>，同时提供以下材料：</w:t>
      </w:r>
      <w:r>
        <w:rPr>
          <w:rFonts w:hint="eastAsia" w:ascii="方正仿宋_GBK" w:hAnsi="方正仿宋_GBK" w:eastAsia="方正仿宋_GBK" w:cs="方正仿宋_GBK"/>
          <w:color w:val="auto"/>
          <w:sz w:val="32"/>
          <w:szCs w:val="32"/>
        </w:rPr>
        <w:t>退出现役证</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转业证</w:t>
      </w:r>
      <w:r>
        <w:rPr>
          <w:rFonts w:hint="eastAsia" w:ascii="方正仿宋_GBK" w:hAnsi="方正仿宋_GBK" w:eastAsia="方正仿宋_GBK" w:cs="方正仿宋_GBK"/>
          <w:color w:val="auto"/>
          <w:sz w:val="32"/>
          <w:szCs w:val="32"/>
          <w:lang w:eastAsia="zh-CN"/>
        </w:rPr>
        <w:t>）；</w:t>
      </w:r>
    </w:p>
    <w:p w14:paraId="534256A9">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outlineLvl w:val="9"/>
        <w:rPr>
          <w:rFonts w:hint="eastAsia" w:ascii="方正仿宋_GBK" w:hAnsi="方正仿宋_GBK" w:eastAsia="方正仿宋_GBK" w:cs="方正仿宋_GBK"/>
          <w:color w:val="auto"/>
          <w:sz w:val="32"/>
          <w:szCs w:val="32"/>
          <w:lang w:val="en-US"/>
        </w:rPr>
      </w:pPr>
      <w:r>
        <w:rPr>
          <w:rFonts w:hint="eastAsia" w:ascii="方正仿宋_GBK" w:hAnsi="方正仿宋_GBK" w:eastAsia="方正仿宋_GBK" w:cs="方正仿宋_GBK"/>
          <w:color w:val="auto"/>
          <w:sz w:val="32"/>
          <w:szCs w:val="32"/>
          <w:lang w:val="en-US" w:eastAsia="zh-CN"/>
        </w:rPr>
        <w:t>2.</w:t>
      </w:r>
      <w:r>
        <w:rPr>
          <w:rFonts w:hint="eastAsia" w:ascii="方正仿宋_GBK" w:hAnsi="方正仿宋_GBK" w:eastAsia="方正仿宋_GBK" w:cs="方正仿宋_GBK"/>
          <w:color w:val="auto"/>
          <w:sz w:val="32"/>
          <w:szCs w:val="32"/>
        </w:rPr>
        <w:t>材料提交时间及方式</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考生</w:t>
      </w:r>
      <w:r>
        <w:rPr>
          <w:rFonts w:hint="eastAsia" w:ascii="方正仿宋_GBK" w:hAnsi="方正仿宋_GBK" w:eastAsia="方正仿宋_GBK" w:cs="方正仿宋_GBK"/>
          <w:color w:val="auto"/>
          <w:sz w:val="32"/>
          <w:szCs w:val="32"/>
          <w:lang w:val="en-US" w:eastAsia="zh-CN"/>
        </w:rPr>
        <w:t>须在2025年2月22日8:00前将符合上述要求的</w:t>
      </w:r>
      <w:r>
        <w:rPr>
          <w:rFonts w:hint="eastAsia" w:ascii="方正仿宋_GBK" w:hAnsi="方正仿宋_GBK" w:eastAsia="方正仿宋_GBK" w:cs="方正仿宋_GBK"/>
          <w:color w:val="auto"/>
          <w:sz w:val="32"/>
          <w:szCs w:val="32"/>
        </w:rPr>
        <w:t>证明材料</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lang w:val="en-US" w:eastAsia="zh-CN"/>
        </w:rPr>
        <w:t>通过现场提交给学院招生就业处审核（地址：10号楼101室，具体联系方式：0731-84074167）。</w:t>
      </w:r>
    </w:p>
    <w:p w14:paraId="7452AD91">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outlineLvl w:val="9"/>
        <w:rPr>
          <w:rFonts w:hint="eastAsia" w:ascii="方正黑体_GBK" w:hAnsi="方正黑体_GBK" w:eastAsia="方正黑体_GBK" w:cs="方正黑体_GBK"/>
          <w:b w:val="0"/>
          <w:bCs w:val="0"/>
          <w:color w:val="auto"/>
          <w:sz w:val="32"/>
          <w:szCs w:val="32"/>
          <w:lang w:val="en-US" w:eastAsia="zh-CN"/>
        </w:rPr>
      </w:pPr>
      <w:r>
        <w:rPr>
          <w:rFonts w:hint="eastAsia" w:ascii="方正黑体_GBK" w:hAnsi="方正黑体_GBK" w:eastAsia="方正黑体_GBK" w:cs="方正黑体_GBK"/>
          <w:b w:val="0"/>
          <w:bCs w:val="0"/>
          <w:color w:val="auto"/>
          <w:sz w:val="32"/>
          <w:szCs w:val="32"/>
          <w:lang w:val="en-US" w:eastAsia="zh-CN"/>
        </w:rPr>
        <w:t>单招计划及专业</w:t>
      </w:r>
    </w:p>
    <w:p w14:paraId="130D2892">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 xml:space="preserve">第十二条 </w:t>
      </w:r>
      <w:r>
        <w:rPr>
          <w:rFonts w:hint="eastAsia" w:ascii="方正仿宋_GBK" w:hAnsi="方正仿宋_GBK" w:eastAsia="方正仿宋_GBK" w:cs="方正仿宋_GBK"/>
          <w:color w:val="auto"/>
          <w:sz w:val="32"/>
          <w:szCs w:val="32"/>
          <w:lang w:val="en-US" w:eastAsia="zh-CN"/>
        </w:rPr>
        <w:t>学院2025年单招总计划数为360人，其中包含单列计划的退役军人10人计划。学院2025年单招专业及计划数以省教育考试院最终公布的为准。各专业最终学费标准以2025年湖南省物价主管部门审核为准。</w:t>
      </w:r>
    </w:p>
    <w:tbl>
      <w:tblPr>
        <w:tblStyle w:val="12"/>
        <w:tblW w:w="7997" w:type="dxa"/>
        <w:jc w:val="center"/>
        <w:tblLayout w:type="fixed"/>
        <w:tblCellMar>
          <w:top w:w="0" w:type="dxa"/>
          <w:left w:w="108" w:type="dxa"/>
          <w:bottom w:w="0" w:type="dxa"/>
          <w:right w:w="108" w:type="dxa"/>
        </w:tblCellMar>
      </w:tblPr>
      <w:tblGrid>
        <w:gridCol w:w="1349"/>
        <w:gridCol w:w="5441"/>
        <w:gridCol w:w="1207"/>
      </w:tblGrid>
      <w:tr w14:paraId="4BBF2148">
        <w:tblPrEx>
          <w:tblCellMar>
            <w:top w:w="0" w:type="dxa"/>
            <w:left w:w="108" w:type="dxa"/>
            <w:bottom w:w="0" w:type="dxa"/>
            <w:right w:w="108" w:type="dxa"/>
          </w:tblCellMar>
        </w:tblPrEx>
        <w:trPr>
          <w:trHeight w:val="662" w:hRule="exact"/>
          <w:jc w:val="center"/>
        </w:trPr>
        <w:tc>
          <w:tcPr>
            <w:tcW w:w="1349" w:type="dxa"/>
            <w:tcBorders>
              <w:top w:val="single" w:color="auto" w:sz="4" w:space="0"/>
              <w:left w:val="single" w:color="auto" w:sz="4" w:space="0"/>
              <w:bottom w:val="single" w:color="auto" w:sz="4" w:space="0"/>
              <w:right w:val="single" w:color="auto" w:sz="4" w:space="0"/>
            </w:tcBorders>
            <w:noWrap w:val="0"/>
            <w:vAlign w:val="center"/>
          </w:tcPr>
          <w:p w14:paraId="53D86451">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b/>
                <w:color w:val="auto"/>
                <w:kern w:val="0"/>
                <w:sz w:val="32"/>
                <w:szCs w:val="32"/>
              </w:rPr>
            </w:pPr>
            <w:r>
              <w:rPr>
                <w:rFonts w:hint="eastAsia" w:ascii="方正仿宋_GBK" w:hAnsi="方正仿宋_GBK" w:eastAsia="方正仿宋_GBK" w:cs="方正仿宋_GBK"/>
                <w:b/>
                <w:bCs/>
                <w:color w:val="auto"/>
                <w:kern w:val="0"/>
                <w:sz w:val="32"/>
                <w:szCs w:val="32"/>
                <w:lang w:bidi="ar"/>
              </w:rPr>
              <w:t>专业组</w:t>
            </w:r>
          </w:p>
        </w:tc>
        <w:tc>
          <w:tcPr>
            <w:tcW w:w="5441" w:type="dxa"/>
            <w:tcBorders>
              <w:top w:val="single" w:color="auto" w:sz="4" w:space="0"/>
              <w:left w:val="nil"/>
              <w:bottom w:val="single" w:color="auto" w:sz="4" w:space="0"/>
              <w:right w:val="single" w:color="auto" w:sz="4" w:space="0"/>
            </w:tcBorders>
            <w:noWrap w:val="0"/>
            <w:vAlign w:val="center"/>
          </w:tcPr>
          <w:p w14:paraId="4BB224BC">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b/>
                <w:color w:val="auto"/>
                <w:kern w:val="0"/>
                <w:sz w:val="32"/>
                <w:szCs w:val="32"/>
              </w:rPr>
            </w:pPr>
            <w:r>
              <w:rPr>
                <w:rFonts w:hint="eastAsia" w:ascii="方正仿宋_GBK" w:hAnsi="方正仿宋_GBK" w:eastAsia="方正仿宋_GBK" w:cs="方正仿宋_GBK"/>
                <w:b/>
                <w:bCs/>
                <w:color w:val="auto"/>
                <w:kern w:val="0"/>
                <w:sz w:val="32"/>
                <w:szCs w:val="32"/>
                <w:lang w:bidi="ar"/>
              </w:rPr>
              <w:t>专业名称</w:t>
            </w:r>
          </w:p>
        </w:tc>
        <w:tc>
          <w:tcPr>
            <w:tcW w:w="1207" w:type="dxa"/>
            <w:tcBorders>
              <w:top w:val="single" w:color="auto" w:sz="4" w:space="0"/>
              <w:left w:val="nil"/>
              <w:bottom w:val="single" w:color="auto" w:sz="4" w:space="0"/>
              <w:right w:val="single" w:color="auto" w:sz="4" w:space="0"/>
            </w:tcBorders>
            <w:noWrap w:val="0"/>
            <w:vAlign w:val="center"/>
          </w:tcPr>
          <w:p w14:paraId="76016683">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b/>
                <w:bCs/>
                <w:color w:val="auto"/>
                <w:kern w:val="0"/>
                <w:sz w:val="32"/>
                <w:szCs w:val="32"/>
                <w:lang w:bidi="ar"/>
              </w:rPr>
              <w:t>学费</w:t>
            </w:r>
          </w:p>
          <w:p w14:paraId="0B15C960">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b/>
                <w:color w:val="auto"/>
                <w:kern w:val="0"/>
                <w:sz w:val="32"/>
                <w:szCs w:val="32"/>
              </w:rPr>
            </w:pPr>
            <w:r>
              <w:rPr>
                <w:rFonts w:hint="eastAsia" w:ascii="方正仿宋_GBK" w:hAnsi="方正仿宋_GBK" w:eastAsia="方正仿宋_GBK" w:cs="方正仿宋_GBK"/>
                <w:b/>
                <w:bCs/>
                <w:color w:val="auto"/>
                <w:kern w:val="0"/>
                <w:sz w:val="32"/>
                <w:szCs w:val="32"/>
                <w:lang w:bidi="ar"/>
              </w:rPr>
              <w:t>（元/年）</w:t>
            </w:r>
          </w:p>
        </w:tc>
      </w:tr>
      <w:tr w14:paraId="76BCB438">
        <w:tblPrEx>
          <w:tblCellMar>
            <w:top w:w="0" w:type="dxa"/>
            <w:left w:w="108" w:type="dxa"/>
            <w:bottom w:w="0" w:type="dxa"/>
            <w:right w:w="108" w:type="dxa"/>
          </w:tblCellMar>
        </w:tblPrEx>
        <w:trPr>
          <w:trHeight w:val="567" w:hRule="exact"/>
          <w:jc w:val="center"/>
        </w:trPr>
        <w:tc>
          <w:tcPr>
            <w:tcW w:w="1349" w:type="dxa"/>
            <w:vMerge w:val="restart"/>
            <w:tcBorders>
              <w:top w:val="nil"/>
              <w:left w:val="single" w:color="auto" w:sz="4" w:space="0"/>
              <w:bottom w:val="single" w:color="auto" w:sz="4" w:space="0"/>
              <w:right w:val="single" w:color="auto" w:sz="4" w:space="0"/>
            </w:tcBorders>
            <w:noWrap w:val="0"/>
            <w:vAlign w:val="center"/>
          </w:tcPr>
          <w:p w14:paraId="306B40D3">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kern w:val="0"/>
                <w:sz w:val="32"/>
                <w:szCs w:val="32"/>
              </w:rPr>
            </w:pPr>
            <w:r>
              <w:rPr>
                <w:rFonts w:hint="eastAsia" w:ascii="方正仿宋_GBK" w:hAnsi="方正仿宋_GBK" w:eastAsia="方正仿宋_GBK" w:cs="方正仿宋_GBK"/>
                <w:color w:val="auto"/>
                <w:kern w:val="0"/>
                <w:sz w:val="32"/>
                <w:szCs w:val="32"/>
                <w:lang w:bidi="ar"/>
              </w:rPr>
              <w:t>专业组一</w:t>
            </w:r>
          </w:p>
        </w:tc>
        <w:tc>
          <w:tcPr>
            <w:tcW w:w="5441" w:type="dxa"/>
            <w:tcBorders>
              <w:top w:val="nil"/>
              <w:left w:val="nil"/>
              <w:bottom w:val="single" w:color="auto" w:sz="4" w:space="0"/>
              <w:right w:val="single" w:color="auto" w:sz="4" w:space="0"/>
            </w:tcBorders>
            <w:noWrap w:val="0"/>
            <w:vAlign w:val="center"/>
          </w:tcPr>
          <w:p w14:paraId="2BD6123C">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kern w:val="0"/>
                <w:sz w:val="32"/>
                <w:szCs w:val="32"/>
                <w:lang w:val="en-US" w:eastAsia="zh-CN" w:bidi="ar"/>
              </w:rPr>
            </w:pPr>
            <w:r>
              <w:rPr>
                <w:rFonts w:hint="eastAsia" w:ascii="方正仿宋_GBK" w:hAnsi="方正仿宋_GBK" w:eastAsia="方正仿宋_GBK" w:cs="方正仿宋_GBK"/>
                <w:color w:val="auto"/>
                <w:kern w:val="0"/>
                <w:sz w:val="32"/>
                <w:szCs w:val="32"/>
                <w:lang w:bidi="ar"/>
              </w:rPr>
              <w:t>发电厂及电力系统</w:t>
            </w:r>
          </w:p>
        </w:tc>
        <w:tc>
          <w:tcPr>
            <w:tcW w:w="1207" w:type="dxa"/>
            <w:tcBorders>
              <w:top w:val="nil"/>
              <w:left w:val="nil"/>
              <w:bottom w:val="single" w:color="auto" w:sz="4" w:space="0"/>
              <w:right w:val="single" w:color="auto" w:sz="4" w:space="0"/>
            </w:tcBorders>
            <w:noWrap w:val="0"/>
            <w:vAlign w:val="center"/>
          </w:tcPr>
          <w:p w14:paraId="2F812100">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kern w:val="0"/>
                <w:sz w:val="32"/>
                <w:szCs w:val="32"/>
                <w:lang w:val="en-US" w:eastAsia="zh-CN"/>
              </w:rPr>
            </w:pPr>
            <w:r>
              <w:rPr>
                <w:rFonts w:hint="eastAsia" w:ascii="方正仿宋_GBK" w:hAnsi="方正仿宋_GBK" w:eastAsia="方正仿宋_GBK" w:cs="方正仿宋_GBK"/>
                <w:color w:val="auto"/>
                <w:kern w:val="0"/>
                <w:sz w:val="32"/>
                <w:szCs w:val="32"/>
                <w:lang w:val="en-US" w:eastAsia="zh-CN"/>
              </w:rPr>
              <w:t>4600</w:t>
            </w:r>
          </w:p>
        </w:tc>
      </w:tr>
      <w:tr w14:paraId="16AA40C3">
        <w:tblPrEx>
          <w:tblCellMar>
            <w:top w:w="0" w:type="dxa"/>
            <w:left w:w="108" w:type="dxa"/>
            <w:bottom w:w="0" w:type="dxa"/>
            <w:right w:w="108" w:type="dxa"/>
          </w:tblCellMar>
        </w:tblPrEx>
        <w:trPr>
          <w:trHeight w:val="567" w:hRule="exact"/>
          <w:jc w:val="center"/>
        </w:trPr>
        <w:tc>
          <w:tcPr>
            <w:tcW w:w="1349" w:type="dxa"/>
            <w:vMerge w:val="continue"/>
            <w:tcBorders>
              <w:top w:val="nil"/>
              <w:left w:val="single" w:color="auto" w:sz="4" w:space="0"/>
              <w:bottom w:val="single" w:color="auto" w:sz="4" w:space="0"/>
              <w:right w:val="single" w:color="auto" w:sz="4" w:space="0"/>
            </w:tcBorders>
            <w:noWrap w:val="0"/>
            <w:vAlign w:val="center"/>
          </w:tcPr>
          <w:p w14:paraId="24D74862">
            <w:pPr>
              <w:keepNext w:val="0"/>
              <w:keepLines w:val="0"/>
              <w:pageBreakBefore w:val="0"/>
              <w:kinsoku/>
              <w:wordWrap/>
              <w:overflowPunct/>
              <w:topLinePunct w:val="0"/>
              <w:autoSpaceDE/>
              <w:autoSpaceDN/>
              <w:bidi w:val="0"/>
              <w:adjustRightInd/>
              <w:snapToGrid/>
              <w:spacing w:line="560" w:lineRule="exact"/>
              <w:jc w:val="center"/>
              <w:outlineLvl w:val="9"/>
              <w:rPr>
                <w:rFonts w:hint="eastAsia" w:ascii="方正仿宋_GBK" w:hAnsi="方正仿宋_GBK" w:eastAsia="方正仿宋_GBK" w:cs="方正仿宋_GBK"/>
                <w:color w:val="auto"/>
                <w:kern w:val="0"/>
                <w:sz w:val="32"/>
                <w:szCs w:val="32"/>
              </w:rPr>
            </w:pPr>
          </w:p>
        </w:tc>
        <w:tc>
          <w:tcPr>
            <w:tcW w:w="5441" w:type="dxa"/>
            <w:tcBorders>
              <w:top w:val="nil"/>
              <w:left w:val="nil"/>
              <w:bottom w:val="single" w:color="auto" w:sz="4" w:space="0"/>
              <w:right w:val="single" w:color="auto" w:sz="4" w:space="0"/>
            </w:tcBorders>
            <w:noWrap w:val="0"/>
            <w:vAlign w:val="center"/>
          </w:tcPr>
          <w:p w14:paraId="612BCBF9">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kern w:val="0"/>
                <w:sz w:val="32"/>
                <w:szCs w:val="32"/>
                <w:lang w:val="en-US" w:eastAsia="zh-CN" w:bidi="ar"/>
              </w:rPr>
            </w:pPr>
            <w:r>
              <w:rPr>
                <w:rFonts w:hint="eastAsia" w:ascii="方正仿宋_GBK" w:hAnsi="方正仿宋_GBK" w:eastAsia="方正仿宋_GBK" w:cs="方正仿宋_GBK"/>
                <w:color w:val="auto"/>
                <w:kern w:val="0"/>
                <w:sz w:val="32"/>
                <w:szCs w:val="32"/>
                <w:lang w:bidi="ar"/>
              </w:rPr>
              <w:t>输配电</w:t>
            </w:r>
            <w:r>
              <w:rPr>
                <w:rFonts w:hint="eastAsia" w:ascii="方正仿宋_GBK" w:hAnsi="方正仿宋_GBK" w:eastAsia="方正仿宋_GBK" w:cs="方正仿宋_GBK"/>
                <w:color w:val="auto"/>
                <w:kern w:val="0"/>
                <w:sz w:val="32"/>
                <w:szCs w:val="32"/>
                <w:lang w:val="en-US" w:eastAsia="zh-CN" w:bidi="ar"/>
              </w:rPr>
              <w:t>工程技术</w:t>
            </w:r>
          </w:p>
        </w:tc>
        <w:tc>
          <w:tcPr>
            <w:tcW w:w="1207" w:type="dxa"/>
            <w:tcBorders>
              <w:top w:val="nil"/>
              <w:left w:val="nil"/>
              <w:bottom w:val="single" w:color="auto" w:sz="4" w:space="0"/>
              <w:right w:val="single" w:color="auto" w:sz="4" w:space="0"/>
            </w:tcBorders>
            <w:noWrap w:val="0"/>
            <w:vAlign w:val="center"/>
          </w:tcPr>
          <w:p w14:paraId="2DFC2B9E">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4600</w:t>
            </w:r>
          </w:p>
        </w:tc>
      </w:tr>
      <w:tr w14:paraId="29789F44">
        <w:tblPrEx>
          <w:tblCellMar>
            <w:top w:w="0" w:type="dxa"/>
            <w:left w:w="108" w:type="dxa"/>
            <w:bottom w:w="0" w:type="dxa"/>
            <w:right w:w="108" w:type="dxa"/>
          </w:tblCellMar>
        </w:tblPrEx>
        <w:trPr>
          <w:trHeight w:val="567" w:hRule="exact"/>
          <w:jc w:val="center"/>
        </w:trPr>
        <w:tc>
          <w:tcPr>
            <w:tcW w:w="1349" w:type="dxa"/>
            <w:vMerge w:val="continue"/>
            <w:tcBorders>
              <w:top w:val="nil"/>
              <w:left w:val="single" w:color="auto" w:sz="4" w:space="0"/>
              <w:bottom w:val="single" w:color="auto" w:sz="4" w:space="0"/>
              <w:right w:val="single" w:color="auto" w:sz="4" w:space="0"/>
            </w:tcBorders>
            <w:noWrap w:val="0"/>
            <w:vAlign w:val="center"/>
          </w:tcPr>
          <w:p w14:paraId="1E33BD4D">
            <w:pPr>
              <w:keepNext w:val="0"/>
              <w:keepLines w:val="0"/>
              <w:pageBreakBefore w:val="0"/>
              <w:kinsoku/>
              <w:wordWrap/>
              <w:overflowPunct/>
              <w:topLinePunct w:val="0"/>
              <w:autoSpaceDE/>
              <w:autoSpaceDN/>
              <w:bidi w:val="0"/>
              <w:adjustRightInd/>
              <w:snapToGrid/>
              <w:spacing w:line="560" w:lineRule="exact"/>
              <w:jc w:val="center"/>
              <w:outlineLvl w:val="9"/>
              <w:rPr>
                <w:rFonts w:hint="eastAsia" w:ascii="方正仿宋_GBK" w:hAnsi="方正仿宋_GBK" w:eastAsia="方正仿宋_GBK" w:cs="方正仿宋_GBK"/>
                <w:color w:val="auto"/>
                <w:kern w:val="0"/>
                <w:sz w:val="32"/>
                <w:szCs w:val="32"/>
              </w:rPr>
            </w:pPr>
          </w:p>
        </w:tc>
        <w:tc>
          <w:tcPr>
            <w:tcW w:w="5441" w:type="dxa"/>
            <w:tcBorders>
              <w:top w:val="nil"/>
              <w:left w:val="nil"/>
              <w:bottom w:val="single" w:color="auto" w:sz="4" w:space="0"/>
              <w:right w:val="single" w:color="auto" w:sz="4" w:space="0"/>
            </w:tcBorders>
            <w:noWrap w:val="0"/>
            <w:vAlign w:val="center"/>
          </w:tcPr>
          <w:p w14:paraId="19D5B27B">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kern w:val="0"/>
                <w:sz w:val="32"/>
                <w:szCs w:val="32"/>
                <w:lang w:val="en-US" w:eastAsia="zh-CN" w:bidi="ar"/>
              </w:rPr>
            </w:pPr>
            <w:r>
              <w:rPr>
                <w:rFonts w:hint="eastAsia" w:ascii="方正仿宋_GBK" w:hAnsi="方正仿宋_GBK" w:eastAsia="方正仿宋_GBK" w:cs="方正仿宋_GBK"/>
                <w:color w:val="auto"/>
                <w:kern w:val="0"/>
                <w:sz w:val="32"/>
                <w:szCs w:val="32"/>
                <w:lang w:bidi="ar"/>
              </w:rPr>
              <w:t>供用电技术</w:t>
            </w:r>
          </w:p>
        </w:tc>
        <w:tc>
          <w:tcPr>
            <w:tcW w:w="1207" w:type="dxa"/>
            <w:tcBorders>
              <w:top w:val="nil"/>
              <w:left w:val="nil"/>
              <w:bottom w:val="single" w:color="auto" w:sz="4" w:space="0"/>
              <w:right w:val="single" w:color="auto" w:sz="4" w:space="0"/>
            </w:tcBorders>
            <w:noWrap w:val="0"/>
            <w:vAlign w:val="center"/>
          </w:tcPr>
          <w:p w14:paraId="35BFBAFE">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4600</w:t>
            </w:r>
          </w:p>
        </w:tc>
      </w:tr>
      <w:tr w14:paraId="2401F438">
        <w:tblPrEx>
          <w:tblCellMar>
            <w:top w:w="0" w:type="dxa"/>
            <w:left w:w="108" w:type="dxa"/>
            <w:bottom w:w="0" w:type="dxa"/>
            <w:right w:w="108" w:type="dxa"/>
          </w:tblCellMar>
        </w:tblPrEx>
        <w:trPr>
          <w:trHeight w:val="567" w:hRule="exact"/>
          <w:jc w:val="center"/>
        </w:trPr>
        <w:tc>
          <w:tcPr>
            <w:tcW w:w="1349" w:type="dxa"/>
            <w:vMerge w:val="continue"/>
            <w:tcBorders>
              <w:top w:val="nil"/>
              <w:left w:val="single" w:color="auto" w:sz="4" w:space="0"/>
              <w:bottom w:val="single" w:color="auto" w:sz="4" w:space="0"/>
              <w:right w:val="single" w:color="auto" w:sz="4" w:space="0"/>
            </w:tcBorders>
            <w:noWrap w:val="0"/>
            <w:vAlign w:val="center"/>
          </w:tcPr>
          <w:p w14:paraId="30D03A85">
            <w:pPr>
              <w:keepNext w:val="0"/>
              <w:keepLines w:val="0"/>
              <w:pageBreakBefore w:val="0"/>
              <w:kinsoku/>
              <w:wordWrap/>
              <w:overflowPunct/>
              <w:topLinePunct w:val="0"/>
              <w:autoSpaceDE/>
              <w:autoSpaceDN/>
              <w:bidi w:val="0"/>
              <w:adjustRightInd/>
              <w:snapToGrid/>
              <w:spacing w:line="560" w:lineRule="exact"/>
              <w:jc w:val="center"/>
              <w:outlineLvl w:val="9"/>
              <w:rPr>
                <w:rFonts w:hint="eastAsia" w:ascii="方正仿宋_GBK" w:hAnsi="方正仿宋_GBK" w:eastAsia="方正仿宋_GBK" w:cs="方正仿宋_GBK"/>
                <w:color w:val="auto"/>
                <w:kern w:val="0"/>
                <w:sz w:val="32"/>
                <w:szCs w:val="32"/>
              </w:rPr>
            </w:pPr>
          </w:p>
        </w:tc>
        <w:tc>
          <w:tcPr>
            <w:tcW w:w="5441" w:type="dxa"/>
            <w:tcBorders>
              <w:top w:val="nil"/>
              <w:left w:val="nil"/>
              <w:bottom w:val="single" w:color="auto" w:sz="4" w:space="0"/>
              <w:right w:val="single" w:color="auto" w:sz="4" w:space="0"/>
            </w:tcBorders>
            <w:noWrap w:val="0"/>
            <w:vAlign w:val="center"/>
          </w:tcPr>
          <w:p w14:paraId="20F1B277">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kern w:val="0"/>
                <w:sz w:val="32"/>
                <w:szCs w:val="32"/>
                <w:lang w:val="en-US" w:eastAsia="zh-CN" w:bidi="ar"/>
              </w:rPr>
            </w:pPr>
            <w:r>
              <w:rPr>
                <w:rFonts w:hint="eastAsia" w:ascii="方正仿宋_GBK" w:hAnsi="方正仿宋_GBK" w:eastAsia="方正仿宋_GBK" w:cs="方正仿宋_GBK"/>
                <w:color w:val="auto"/>
                <w:kern w:val="0"/>
                <w:sz w:val="32"/>
                <w:szCs w:val="32"/>
                <w:lang w:bidi="ar"/>
              </w:rPr>
              <w:t>电力系统自动化技术</w:t>
            </w:r>
          </w:p>
        </w:tc>
        <w:tc>
          <w:tcPr>
            <w:tcW w:w="1207" w:type="dxa"/>
            <w:tcBorders>
              <w:top w:val="nil"/>
              <w:left w:val="nil"/>
              <w:bottom w:val="single" w:color="auto" w:sz="4" w:space="0"/>
              <w:right w:val="single" w:color="auto" w:sz="4" w:space="0"/>
            </w:tcBorders>
            <w:noWrap w:val="0"/>
            <w:vAlign w:val="center"/>
          </w:tcPr>
          <w:p w14:paraId="658859AB">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4600</w:t>
            </w:r>
          </w:p>
        </w:tc>
      </w:tr>
      <w:tr w14:paraId="6931CF34">
        <w:tblPrEx>
          <w:tblCellMar>
            <w:top w:w="0" w:type="dxa"/>
            <w:left w:w="108" w:type="dxa"/>
            <w:bottom w:w="0" w:type="dxa"/>
            <w:right w:w="108" w:type="dxa"/>
          </w:tblCellMar>
        </w:tblPrEx>
        <w:trPr>
          <w:trHeight w:val="1048" w:hRule="exact"/>
          <w:jc w:val="center"/>
        </w:trPr>
        <w:tc>
          <w:tcPr>
            <w:tcW w:w="1349" w:type="dxa"/>
            <w:vMerge w:val="continue"/>
            <w:tcBorders>
              <w:top w:val="nil"/>
              <w:left w:val="single" w:color="auto" w:sz="4" w:space="0"/>
              <w:bottom w:val="single" w:color="auto" w:sz="4" w:space="0"/>
              <w:right w:val="single" w:color="auto" w:sz="4" w:space="0"/>
            </w:tcBorders>
            <w:noWrap w:val="0"/>
            <w:vAlign w:val="center"/>
          </w:tcPr>
          <w:p w14:paraId="799210AE">
            <w:pPr>
              <w:keepNext w:val="0"/>
              <w:keepLines w:val="0"/>
              <w:pageBreakBefore w:val="0"/>
              <w:kinsoku/>
              <w:wordWrap/>
              <w:overflowPunct/>
              <w:topLinePunct w:val="0"/>
              <w:autoSpaceDE/>
              <w:autoSpaceDN/>
              <w:bidi w:val="0"/>
              <w:adjustRightInd/>
              <w:snapToGrid/>
              <w:spacing w:line="560" w:lineRule="exact"/>
              <w:jc w:val="center"/>
              <w:outlineLvl w:val="9"/>
              <w:rPr>
                <w:rFonts w:hint="eastAsia" w:ascii="方正仿宋_GBK" w:hAnsi="方正仿宋_GBK" w:eastAsia="方正仿宋_GBK" w:cs="方正仿宋_GBK"/>
                <w:color w:val="auto"/>
                <w:kern w:val="0"/>
                <w:sz w:val="32"/>
                <w:szCs w:val="32"/>
              </w:rPr>
            </w:pPr>
          </w:p>
        </w:tc>
        <w:tc>
          <w:tcPr>
            <w:tcW w:w="5441" w:type="dxa"/>
            <w:tcBorders>
              <w:top w:val="nil"/>
              <w:left w:val="nil"/>
              <w:bottom w:val="single" w:color="auto" w:sz="4" w:space="0"/>
              <w:right w:val="single" w:color="auto" w:sz="4" w:space="0"/>
            </w:tcBorders>
            <w:noWrap w:val="0"/>
            <w:vAlign w:val="center"/>
          </w:tcPr>
          <w:p w14:paraId="07571EF6">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kern w:val="0"/>
                <w:sz w:val="32"/>
                <w:szCs w:val="32"/>
                <w:lang w:bidi="ar"/>
              </w:rPr>
            </w:pPr>
            <w:r>
              <w:rPr>
                <w:rFonts w:hint="eastAsia" w:ascii="方正仿宋_GBK" w:hAnsi="方正仿宋_GBK" w:eastAsia="方正仿宋_GBK" w:cs="方正仿宋_GBK"/>
                <w:color w:val="auto"/>
                <w:kern w:val="0"/>
                <w:sz w:val="32"/>
                <w:szCs w:val="32"/>
                <w:lang w:bidi="ar"/>
              </w:rPr>
              <w:t>电力系统自动化技术</w:t>
            </w:r>
          </w:p>
          <w:p w14:paraId="7E9763B4">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kern w:val="0"/>
                <w:sz w:val="32"/>
                <w:szCs w:val="32"/>
                <w:lang w:val="en-US" w:eastAsia="zh-CN" w:bidi="ar"/>
              </w:rPr>
            </w:pPr>
            <w:r>
              <w:rPr>
                <w:rFonts w:hint="eastAsia" w:ascii="方正仿宋_GBK" w:hAnsi="方正仿宋_GBK" w:eastAsia="方正仿宋_GBK" w:cs="方正仿宋_GBK"/>
                <w:color w:val="auto"/>
                <w:kern w:val="0"/>
                <w:sz w:val="32"/>
                <w:szCs w:val="32"/>
                <w:lang w:eastAsia="zh-CN" w:bidi="ar"/>
              </w:rPr>
              <w:t>（</w:t>
            </w:r>
            <w:r>
              <w:rPr>
                <w:rFonts w:hint="eastAsia" w:ascii="方正仿宋_GBK" w:hAnsi="方正仿宋_GBK" w:eastAsia="方正仿宋_GBK" w:cs="方正仿宋_GBK"/>
                <w:color w:val="auto"/>
                <w:kern w:val="0"/>
                <w:sz w:val="32"/>
                <w:szCs w:val="32"/>
                <w:lang w:val="en-US" w:eastAsia="zh-CN" w:bidi="ar"/>
              </w:rPr>
              <w:t>新型电力系统方向）</w:t>
            </w:r>
          </w:p>
        </w:tc>
        <w:tc>
          <w:tcPr>
            <w:tcW w:w="1207" w:type="dxa"/>
            <w:tcBorders>
              <w:top w:val="nil"/>
              <w:left w:val="nil"/>
              <w:bottom w:val="single" w:color="auto" w:sz="4" w:space="0"/>
              <w:right w:val="single" w:color="auto" w:sz="4" w:space="0"/>
            </w:tcBorders>
            <w:noWrap w:val="0"/>
            <w:vAlign w:val="center"/>
          </w:tcPr>
          <w:p w14:paraId="01CF31E6">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lang w:val="en-US" w:eastAsia="zh-CN"/>
              </w:rPr>
              <w:t>4600</w:t>
            </w:r>
          </w:p>
        </w:tc>
      </w:tr>
      <w:tr w14:paraId="6C5F5FCD">
        <w:tblPrEx>
          <w:tblCellMar>
            <w:top w:w="0" w:type="dxa"/>
            <w:left w:w="108" w:type="dxa"/>
            <w:bottom w:w="0" w:type="dxa"/>
            <w:right w:w="108" w:type="dxa"/>
          </w:tblCellMar>
        </w:tblPrEx>
        <w:trPr>
          <w:trHeight w:val="567" w:hRule="exact"/>
          <w:jc w:val="center"/>
        </w:trPr>
        <w:tc>
          <w:tcPr>
            <w:tcW w:w="1349" w:type="dxa"/>
            <w:vMerge w:val="continue"/>
            <w:tcBorders>
              <w:top w:val="nil"/>
              <w:left w:val="single" w:color="auto" w:sz="4" w:space="0"/>
              <w:bottom w:val="single" w:color="auto" w:sz="4" w:space="0"/>
              <w:right w:val="single" w:color="auto" w:sz="4" w:space="0"/>
            </w:tcBorders>
            <w:noWrap w:val="0"/>
            <w:vAlign w:val="center"/>
          </w:tcPr>
          <w:p w14:paraId="0E41F6C0">
            <w:pPr>
              <w:keepNext w:val="0"/>
              <w:keepLines w:val="0"/>
              <w:pageBreakBefore w:val="0"/>
              <w:kinsoku/>
              <w:wordWrap/>
              <w:overflowPunct/>
              <w:topLinePunct w:val="0"/>
              <w:autoSpaceDE/>
              <w:autoSpaceDN/>
              <w:bidi w:val="0"/>
              <w:adjustRightInd/>
              <w:snapToGrid/>
              <w:spacing w:line="560" w:lineRule="exact"/>
              <w:jc w:val="center"/>
              <w:outlineLvl w:val="9"/>
              <w:rPr>
                <w:rFonts w:hint="eastAsia" w:ascii="方正仿宋_GBK" w:hAnsi="方正仿宋_GBK" w:eastAsia="方正仿宋_GBK" w:cs="方正仿宋_GBK"/>
                <w:color w:val="auto"/>
                <w:kern w:val="0"/>
                <w:sz w:val="32"/>
                <w:szCs w:val="32"/>
              </w:rPr>
            </w:pPr>
          </w:p>
        </w:tc>
        <w:tc>
          <w:tcPr>
            <w:tcW w:w="5441" w:type="dxa"/>
            <w:tcBorders>
              <w:top w:val="nil"/>
              <w:left w:val="nil"/>
              <w:bottom w:val="single" w:color="auto" w:sz="4" w:space="0"/>
              <w:right w:val="single" w:color="auto" w:sz="4" w:space="0"/>
            </w:tcBorders>
            <w:noWrap w:val="0"/>
            <w:vAlign w:val="center"/>
          </w:tcPr>
          <w:p w14:paraId="7C8D07B9">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kern w:val="0"/>
                <w:sz w:val="32"/>
                <w:szCs w:val="32"/>
                <w:lang w:val="en-US" w:eastAsia="zh-CN" w:bidi="ar"/>
              </w:rPr>
            </w:pPr>
            <w:r>
              <w:rPr>
                <w:rFonts w:hint="eastAsia" w:ascii="方正仿宋_GBK" w:hAnsi="方正仿宋_GBK" w:eastAsia="方正仿宋_GBK" w:cs="方正仿宋_GBK"/>
                <w:color w:val="auto"/>
                <w:kern w:val="0"/>
                <w:sz w:val="32"/>
                <w:szCs w:val="32"/>
                <w:lang w:bidi="ar"/>
              </w:rPr>
              <w:t>热能动力工程技术</w:t>
            </w:r>
          </w:p>
        </w:tc>
        <w:tc>
          <w:tcPr>
            <w:tcW w:w="1207" w:type="dxa"/>
            <w:tcBorders>
              <w:top w:val="nil"/>
              <w:left w:val="nil"/>
              <w:bottom w:val="single" w:color="auto" w:sz="4" w:space="0"/>
              <w:right w:val="single" w:color="auto" w:sz="4" w:space="0"/>
            </w:tcBorders>
            <w:noWrap w:val="0"/>
            <w:vAlign w:val="center"/>
          </w:tcPr>
          <w:p w14:paraId="1095B937">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4600</w:t>
            </w:r>
          </w:p>
        </w:tc>
      </w:tr>
      <w:tr w14:paraId="6329909E">
        <w:tblPrEx>
          <w:tblCellMar>
            <w:top w:w="0" w:type="dxa"/>
            <w:left w:w="108" w:type="dxa"/>
            <w:bottom w:w="0" w:type="dxa"/>
            <w:right w:w="108" w:type="dxa"/>
          </w:tblCellMar>
        </w:tblPrEx>
        <w:trPr>
          <w:trHeight w:val="567" w:hRule="exact"/>
          <w:jc w:val="center"/>
        </w:trPr>
        <w:tc>
          <w:tcPr>
            <w:tcW w:w="1349" w:type="dxa"/>
            <w:vMerge w:val="continue"/>
            <w:tcBorders>
              <w:top w:val="nil"/>
              <w:left w:val="single" w:color="auto" w:sz="4" w:space="0"/>
              <w:bottom w:val="single" w:color="auto" w:sz="4" w:space="0"/>
              <w:right w:val="single" w:color="auto" w:sz="4" w:space="0"/>
            </w:tcBorders>
            <w:noWrap w:val="0"/>
            <w:vAlign w:val="center"/>
          </w:tcPr>
          <w:p w14:paraId="229E9E95">
            <w:pPr>
              <w:keepNext w:val="0"/>
              <w:keepLines w:val="0"/>
              <w:pageBreakBefore w:val="0"/>
              <w:kinsoku/>
              <w:wordWrap/>
              <w:overflowPunct/>
              <w:topLinePunct w:val="0"/>
              <w:autoSpaceDE/>
              <w:autoSpaceDN/>
              <w:bidi w:val="0"/>
              <w:adjustRightInd/>
              <w:snapToGrid/>
              <w:spacing w:line="560" w:lineRule="exact"/>
              <w:jc w:val="center"/>
              <w:outlineLvl w:val="9"/>
              <w:rPr>
                <w:rFonts w:hint="eastAsia" w:ascii="方正仿宋_GBK" w:hAnsi="方正仿宋_GBK" w:eastAsia="方正仿宋_GBK" w:cs="方正仿宋_GBK"/>
                <w:color w:val="auto"/>
                <w:kern w:val="0"/>
                <w:sz w:val="32"/>
                <w:szCs w:val="32"/>
              </w:rPr>
            </w:pPr>
          </w:p>
        </w:tc>
        <w:tc>
          <w:tcPr>
            <w:tcW w:w="5441" w:type="dxa"/>
            <w:tcBorders>
              <w:top w:val="nil"/>
              <w:left w:val="nil"/>
              <w:bottom w:val="single" w:color="auto" w:sz="4" w:space="0"/>
              <w:right w:val="single" w:color="auto" w:sz="4" w:space="0"/>
            </w:tcBorders>
            <w:noWrap w:val="0"/>
            <w:vAlign w:val="center"/>
          </w:tcPr>
          <w:p w14:paraId="3141DD0C">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kern w:val="0"/>
                <w:sz w:val="32"/>
                <w:szCs w:val="32"/>
                <w:lang w:val="en-US" w:eastAsia="zh-CN" w:bidi="ar"/>
              </w:rPr>
            </w:pPr>
            <w:r>
              <w:rPr>
                <w:rFonts w:hint="eastAsia" w:ascii="方正仿宋_GBK" w:hAnsi="方正仿宋_GBK" w:eastAsia="方正仿宋_GBK" w:cs="方正仿宋_GBK"/>
                <w:color w:val="auto"/>
                <w:kern w:val="0"/>
                <w:sz w:val="32"/>
                <w:szCs w:val="32"/>
                <w:lang w:bidi="ar"/>
              </w:rPr>
              <w:t>发电运行技术</w:t>
            </w:r>
          </w:p>
        </w:tc>
        <w:tc>
          <w:tcPr>
            <w:tcW w:w="1207" w:type="dxa"/>
            <w:tcBorders>
              <w:top w:val="nil"/>
              <w:left w:val="nil"/>
              <w:bottom w:val="single" w:color="auto" w:sz="4" w:space="0"/>
              <w:right w:val="single" w:color="auto" w:sz="4" w:space="0"/>
            </w:tcBorders>
            <w:noWrap w:val="0"/>
            <w:vAlign w:val="center"/>
          </w:tcPr>
          <w:p w14:paraId="0FABCDA0">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5000</w:t>
            </w:r>
          </w:p>
        </w:tc>
      </w:tr>
      <w:tr w14:paraId="7BECA7BC">
        <w:tblPrEx>
          <w:tblCellMar>
            <w:top w:w="0" w:type="dxa"/>
            <w:left w:w="108" w:type="dxa"/>
            <w:bottom w:w="0" w:type="dxa"/>
            <w:right w:w="108" w:type="dxa"/>
          </w:tblCellMar>
        </w:tblPrEx>
        <w:trPr>
          <w:trHeight w:val="567" w:hRule="exact"/>
          <w:jc w:val="center"/>
        </w:trPr>
        <w:tc>
          <w:tcPr>
            <w:tcW w:w="1349" w:type="dxa"/>
            <w:vMerge w:val="continue"/>
            <w:tcBorders>
              <w:top w:val="nil"/>
              <w:left w:val="single" w:color="auto" w:sz="4" w:space="0"/>
              <w:bottom w:val="single" w:color="auto" w:sz="4" w:space="0"/>
              <w:right w:val="single" w:color="auto" w:sz="4" w:space="0"/>
            </w:tcBorders>
            <w:noWrap w:val="0"/>
            <w:vAlign w:val="center"/>
          </w:tcPr>
          <w:p w14:paraId="7494DA1D">
            <w:pPr>
              <w:keepNext w:val="0"/>
              <w:keepLines w:val="0"/>
              <w:pageBreakBefore w:val="0"/>
              <w:kinsoku/>
              <w:wordWrap/>
              <w:overflowPunct/>
              <w:topLinePunct w:val="0"/>
              <w:autoSpaceDE/>
              <w:autoSpaceDN/>
              <w:bidi w:val="0"/>
              <w:adjustRightInd/>
              <w:snapToGrid/>
              <w:spacing w:line="560" w:lineRule="exact"/>
              <w:jc w:val="center"/>
              <w:outlineLvl w:val="9"/>
              <w:rPr>
                <w:rFonts w:hint="eastAsia" w:ascii="方正仿宋_GBK" w:hAnsi="方正仿宋_GBK" w:eastAsia="方正仿宋_GBK" w:cs="方正仿宋_GBK"/>
                <w:color w:val="auto"/>
                <w:kern w:val="0"/>
                <w:sz w:val="32"/>
                <w:szCs w:val="32"/>
              </w:rPr>
            </w:pPr>
          </w:p>
        </w:tc>
        <w:tc>
          <w:tcPr>
            <w:tcW w:w="5441" w:type="dxa"/>
            <w:tcBorders>
              <w:top w:val="nil"/>
              <w:left w:val="nil"/>
              <w:bottom w:val="single" w:color="auto" w:sz="4" w:space="0"/>
              <w:right w:val="single" w:color="auto" w:sz="4" w:space="0"/>
            </w:tcBorders>
            <w:noWrap w:val="0"/>
            <w:vAlign w:val="center"/>
          </w:tcPr>
          <w:p w14:paraId="28CE11C5">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kern w:val="0"/>
                <w:sz w:val="32"/>
                <w:szCs w:val="32"/>
                <w:lang w:val="en-US" w:eastAsia="zh-CN" w:bidi="ar"/>
              </w:rPr>
            </w:pPr>
            <w:r>
              <w:rPr>
                <w:rFonts w:hint="eastAsia" w:ascii="方正仿宋_GBK" w:hAnsi="方正仿宋_GBK" w:eastAsia="方正仿宋_GBK" w:cs="方正仿宋_GBK"/>
                <w:color w:val="auto"/>
                <w:kern w:val="0"/>
                <w:sz w:val="32"/>
                <w:szCs w:val="32"/>
                <w:lang w:val="en-US" w:eastAsia="zh-CN" w:bidi="ar"/>
              </w:rPr>
              <w:t>分布式发电与智能微电网技术</w:t>
            </w:r>
          </w:p>
        </w:tc>
        <w:tc>
          <w:tcPr>
            <w:tcW w:w="1207" w:type="dxa"/>
            <w:tcBorders>
              <w:top w:val="nil"/>
              <w:left w:val="nil"/>
              <w:bottom w:val="single" w:color="auto" w:sz="4" w:space="0"/>
              <w:right w:val="single" w:color="auto" w:sz="4" w:space="0"/>
            </w:tcBorders>
            <w:noWrap w:val="0"/>
            <w:vAlign w:val="center"/>
          </w:tcPr>
          <w:p w14:paraId="28E37E54">
            <w:pPr>
              <w:keepNext w:val="0"/>
              <w:keepLines w:val="0"/>
              <w:pageBreakBefore w:val="0"/>
              <w:widowControl/>
              <w:kinsoku/>
              <w:wordWrap/>
              <w:overflowPunct/>
              <w:topLinePunct w:val="0"/>
              <w:autoSpaceDE/>
              <w:autoSpaceDN/>
              <w:bidi w:val="0"/>
              <w:adjustRightInd/>
              <w:snapToGrid/>
              <w:spacing w:line="560" w:lineRule="exact"/>
              <w:jc w:val="center"/>
              <w:textAlignment w:val="center"/>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4600</w:t>
            </w:r>
          </w:p>
        </w:tc>
      </w:tr>
    </w:tbl>
    <w:p w14:paraId="776A55A2">
      <w:pPr>
        <w:keepNext w:val="0"/>
        <w:keepLines w:val="0"/>
        <w:pageBreakBefore w:val="0"/>
        <w:widowControl/>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kern w:val="0"/>
          <w:sz w:val="32"/>
          <w:szCs w:val="32"/>
          <w:lang w:val="en-US" w:eastAsia="zh-CN"/>
        </w:rPr>
      </w:pPr>
      <w:r>
        <w:rPr>
          <w:rFonts w:hint="eastAsia" w:ascii="方正仿宋_GBK" w:hAnsi="方正仿宋_GBK" w:eastAsia="方正仿宋_GBK" w:cs="方正仿宋_GBK"/>
          <w:b/>
          <w:bCs/>
          <w:color w:val="auto"/>
          <w:sz w:val="32"/>
          <w:szCs w:val="32"/>
          <w:lang w:val="en-US" w:eastAsia="zh-CN"/>
        </w:rPr>
        <w:t xml:space="preserve">第十三条  </w:t>
      </w:r>
      <w:r>
        <w:rPr>
          <w:rFonts w:hint="eastAsia" w:ascii="方正仿宋_GBK" w:hAnsi="方正仿宋_GBK" w:eastAsia="方正仿宋_GBK" w:cs="方正仿宋_GBK"/>
          <w:color w:val="auto"/>
          <w:kern w:val="0"/>
          <w:sz w:val="32"/>
          <w:szCs w:val="32"/>
          <w:lang w:val="en-US" w:eastAsia="zh-CN"/>
        </w:rPr>
        <w:t>单</w:t>
      </w:r>
      <w:r>
        <w:rPr>
          <w:rFonts w:hint="eastAsia" w:ascii="方正仿宋_GBK" w:hAnsi="方正仿宋_GBK" w:eastAsia="方正仿宋_GBK" w:cs="方正仿宋_GBK"/>
          <w:color w:val="auto"/>
          <w:kern w:val="0"/>
          <w:sz w:val="32"/>
          <w:szCs w:val="32"/>
        </w:rPr>
        <w:t>列计划</w:t>
      </w:r>
      <w:r>
        <w:rPr>
          <w:rFonts w:hint="eastAsia" w:ascii="方正仿宋_GBK" w:hAnsi="方正仿宋_GBK" w:eastAsia="方正仿宋_GBK" w:cs="方正仿宋_GBK"/>
          <w:color w:val="auto"/>
          <w:kern w:val="0"/>
          <w:sz w:val="32"/>
          <w:szCs w:val="32"/>
          <w:lang w:val="en-US" w:eastAsia="zh-CN"/>
        </w:rPr>
        <w:t>及专业说明。根据省教育厅政策规定，单列计划纳入学院单招总计划，且均包含在各相关专业的招生计划内，未录满的计划自动转为普通类计划。</w:t>
      </w:r>
    </w:p>
    <w:p w14:paraId="4D8FB07B">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outlineLvl w:val="9"/>
        <w:rPr>
          <w:rFonts w:hint="eastAsia" w:ascii="方正仿宋_GBK" w:hAnsi="方正仿宋_GBK" w:eastAsia="方正仿宋_GBK" w:cs="方正仿宋_GBK"/>
          <w:color w:val="auto"/>
          <w:kern w:val="0"/>
          <w:sz w:val="32"/>
          <w:szCs w:val="32"/>
          <w:lang w:val="en-US" w:eastAsia="zh-CN"/>
        </w:rPr>
      </w:pPr>
      <w:r>
        <w:rPr>
          <w:rFonts w:hint="eastAsia" w:ascii="方正仿宋_GBK" w:hAnsi="方正仿宋_GBK" w:eastAsia="方正仿宋_GBK" w:cs="方正仿宋_GBK"/>
          <w:color w:val="auto"/>
          <w:kern w:val="0"/>
          <w:sz w:val="32"/>
          <w:szCs w:val="32"/>
          <w:lang w:val="en-US" w:eastAsia="zh-CN"/>
        </w:rPr>
        <w:t>退役军人计划</w:t>
      </w:r>
      <w:r>
        <w:rPr>
          <w:rFonts w:hint="eastAsia" w:ascii="方正仿宋_GBK" w:hAnsi="方正仿宋_GBK" w:eastAsia="方正仿宋_GBK" w:cs="方正仿宋_GBK"/>
          <w:color w:val="auto"/>
          <w:sz w:val="32"/>
          <w:szCs w:val="32"/>
          <w:u w:val="none"/>
          <w:lang w:val="en-US" w:eastAsia="zh-CN"/>
        </w:rPr>
        <w:t>10人</w:t>
      </w:r>
      <w:r>
        <w:rPr>
          <w:rFonts w:hint="eastAsia" w:ascii="方正仿宋_GBK" w:hAnsi="方正仿宋_GBK" w:eastAsia="方正仿宋_GBK" w:cs="方正仿宋_GBK"/>
          <w:color w:val="auto"/>
          <w:sz w:val="32"/>
          <w:szCs w:val="32"/>
          <w:lang w:val="en-US" w:eastAsia="zh-CN"/>
        </w:rPr>
        <w:t>，考生</w:t>
      </w:r>
      <w:r>
        <w:rPr>
          <w:rFonts w:hint="eastAsia" w:ascii="方正仿宋_GBK" w:hAnsi="方正仿宋_GBK" w:eastAsia="方正仿宋_GBK" w:cs="方正仿宋_GBK"/>
          <w:color w:val="auto"/>
          <w:kern w:val="0"/>
          <w:sz w:val="32"/>
          <w:szCs w:val="32"/>
          <w:lang w:val="en-US" w:eastAsia="zh-CN"/>
        </w:rPr>
        <w:t>可在上表专业范围内自行选择报考，但每个专业最多录取</w:t>
      </w:r>
      <w:r>
        <w:rPr>
          <w:rFonts w:hint="eastAsia" w:ascii="方正仿宋_GBK" w:hAnsi="方正仿宋_GBK" w:eastAsia="方正仿宋_GBK" w:cs="方正仿宋_GBK"/>
          <w:b w:val="0"/>
          <w:bCs w:val="0"/>
          <w:color w:val="auto"/>
          <w:sz w:val="32"/>
          <w:szCs w:val="32"/>
          <w:u w:val="none"/>
          <w:lang w:val="en-US" w:eastAsia="zh-CN"/>
        </w:rPr>
        <w:t>5人</w:t>
      </w:r>
      <w:r>
        <w:rPr>
          <w:rFonts w:hint="eastAsia" w:ascii="方正仿宋_GBK" w:hAnsi="方正仿宋_GBK" w:eastAsia="方正仿宋_GBK" w:cs="方正仿宋_GBK"/>
          <w:color w:val="auto"/>
          <w:kern w:val="0"/>
          <w:sz w:val="32"/>
          <w:szCs w:val="32"/>
          <w:lang w:val="en-US" w:eastAsia="zh-CN"/>
        </w:rPr>
        <w:t>。</w:t>
      </w:r>
    </w:p>
    <w:p w14:paraId="4D19B98F">
      <w:pPr>
        <w:keepNext w:val="0"/>
        <w:keepLines w:val="0"/>
        <w:pageBreakBefore w:val="0"/>
        <w:widowControl/>
        <w:kinsoku/>
        <w:wordWrap/>
        <w:overflowPunct/>
        <w:topLinePunct w:val="0"/>
        <w:autoSpaceDE/>
        <w:autoSpaceDN/>
        <w:bidi w:val="0"/>
        <w:adjustRightInd/>
        <w:snapToGrid/>
        <w:spacing w:line="560" w:lineRule="exact"/>
        <w:ind w:firstLine="640" w:firstLineChars="200"/>
        <w:jc w:val="left"/>
        <w:outlineLvl w:val="9"/>
        <w:rPr>
          <w:rFonts w:hint="eastAsia" w:ascii="方正仿宋_GBK" w:hAnsi="方正仿宋_GBK" w:eastAsia="方正仿宋_GBK" w:cs="方正仿宋_GBK"/>
          <w:color w:val="FF0000"/>
          <w:kern w:val="0"/>
          <w:sz w:val="32"/>
          <w:szCs w:val="32"/>
          <w:lang w:val="en-US" w:eastAsia="zh-CN"/>
        </w:rPr>
      </w:pPr>
      <w:r>
        <w:rPr>
          <w:rFonts w:hint="eastAsia" w:ascii="方正仿宋_GBK" w:hAnsi="方正仿宋_GBK" w:eastAsia="方正仿宋_GBK" w:cs="方正仿宋_GBK"/>
          <w:color w:val="auto"/>
          <w:sz w:val="32"/>
          <w:szCs w:val="32"/>
          <w:u w:val="none"/>
          <w:lang w:val="en-US" w:eastAsia="zh-CN"/>
        </w:rPr>
        <w:t>应用人单位要求，为顺利就业，输配电工程技术专业一般只招男生，女生慎重报考。其余专业男女不限。</w:t>
      </w:r>
      <w:r>
        <w:rPr>
          <w:rFonts w:hint="eastAsia" w:ascii="方正仿宋_GBK" w:hAnsi="方正仿宋_GBK" w:eastAsia="方正仿宋_GBK" w:cs="方正仿宋_GBK"/>
          <w:color w:val="FF0000"/>
          <w:kern w:val="0"/>
          <w:sz w:val="32"/>
          <w:szCs w:val="32"/>
          <w:lang w:val="en-US" w:eastAsia="zh-CN"/>
        </w:rPr>
        <w:t xml:space="preserve"> </w:t>
      </w:r>
    </w:p>
    <w:p w14:paraId="43AD807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textAlignment w:val="auto"/>
        <w:outlineLvl w:val="9"/>
        <w:rPr>
          <w:rFonts w:hint="eastAsia" w:ascii="方正仿宋_GBK" w:hAnsi="方正仿宋_GBK" w:eastAsia="方正仿宋_GBK" w:cs="方正仿宋_GBK"/>
          <w:color w:val="auto"/>
          <w:sz w:val="32"/>
          <w:szCs w:val="32"/>
          <w:u w:val="none"/>
          <w:lang w:val="en-US" w:eastAsia="zh-CN"/>
        </w:rPr>
      </w:pPr>
      <w:r>
        <w:rPr>
          <w:rFonts w:hint="eastAsia" w:ascii="方正仿宋_GBK" w:hAnsi="方正仿宋_GBK" w:eastAsia="方正仿宋_GBK" w:cs="方正仿宋_GBK"/>
          <w:b/>
          <w:bCs/>
          <w:color w:val="auto"/>
          <w:kern w:val="0"/>
          <w:sz w:val="32"/>
          <w:szCs w:val="32"/>
          <w:lang w:val="en-US" w:eastAsia="zh-CN"/>
        </w:rPr>
        <w:t>第十四条</w:t>
      </w:r>
      <w:r>
        <w:rPr>
          <w:rFonts w:hint="eastAsia" w:ascii="方正仿宋_GBK" w:hAnsi="方正仿宋_GBK" w:eastAsia="方正仿宋_GBK" w:cs="方正仿宋_GBK"/>
          <w:color w:val="auto"/>
          <w:kern w:val="0"/>
          <w:sz w:val="32"/>
          <w:szCs w:val="32"/>
          <w:lang w:val="en-US" w:eastAsia="zh-CN"/>
        </w:rPr>
        <w:t xml:space="preserve"> 学院在</w:t>
      </w:r>
      <w:r>
        <w:rPr>
          <w:rFonts w:hint="eastAsia" w:ascii="方正仿宋_GBK" w:hAnsi="方正仿宋_GBK" w:eastAsia="方正仿宋_GBK" w:cs="方正仿宋_GBK"/>
          <w:color w:val="auto"/>
          <w:kern w:val="0"/>
          <w:sz w:val="32"/>
          <w:szCs w:val="32"/>
          <w:lang w:eastAsia="zh-CN"/>
        </w:rPr>
        <w:t>考试结束后，以实际参考人数为基数，按比例确定各专业不同类别考生的计划数。</w:t>
      </w:r>
      <w:r>
        <w:rPr>
          <w:rFonts w:hint="eastAsia" w:ascii="方正仿宋_GBK" w:hAnsi="方正仿宋_GBK" w:eastAsia="方正仿宋_GBK" w:cs="方正仿宋_GBK"/>
          <w:color w:val="auto"/>
          <w:kern w:val="0"/>
          <w:sz w:val="32"/>
          <w:szCs w:val="32"/>
          <w:lang w:val="en-US" w:eastAsia="zh-CN"/>
        </w:rPr>
        <w:t>学院</w:t>
      </w:r>
      <w:r>
        <w:rPr>
          <w:rFonts w:hint="eastAsia" w:ascii="方正仿宋_GBK" w:hAnsi="方正仿宋_GBK" w:eastAsia="方正仿宋_GBK" w:cs="方正仿宋_GBK"/>
          <w:color w:val="auto"/>
          <w:kern w:val="0"/>
          <w:sz w:val="32"/>
          <w:szCs w:val="32"/>
        </w:rPr>
        <w:t>各专业各类别计划确定并公布后，一律不调整和追加</w:t>
      </w:r>
      <w:r>
        <w:rPr>
          <w:rFonts w:hint="eastAsia" w:ascii="方正仿宋_GBK" w:hAnsi="方正仿宋_GBK" w:eastAsia="方正仿宋_GBK" w:cs="方正仿宋_GBK"/>
          <w:color w:val="auto"/>
          <w:kern w:val="0"/>
          <w:sz w:val="32"/>
          <w:szCs w:val="32"/>
          <w:lang w:eastAsia="zh-CN"/>
        </w:rPr>
        <w:t>。单招未完成的计划转为统招计划使用。</w:t>
      </w:r>
    </w:p>
    <w:p w14:paraId="69F465F9">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outlineLvl w:val="9"/>
        <w:rPr>
          <w:rFonts w:hint="eastAsia" w:ascii="方正黑体_GBK" w:hAnsi="方正黑体_GBK" w:eastAsia="方正黑体_GBK" w:cs="方正黑体_GBK"/>
          <w:b w:val="0"/>
          <w:bCs w:val="0"/>
          <w:color w:val="auto"/>
          <w:sz w:val="32"/>
          <w:szCs w:val="32"/>
          <w:lang w:val="en-US" w:eastAsia="zh-CN"/>
        </w:rPr>
      </w:pPr>
      <w:r>
        <w:rPr>
          <w:rFonts w:hint="eastAsia" w:ascii="方正黑体_GBK" w:hAnsi="方正黑体_GBK" w:eastAsia="方正黑体_GBK" w:cs="方正黑体_GBK"/>
          <w:b w:val="0"/>
          <w:bCs w:val="0"/>
          <w:color w:val="auto"/>
          <w:sz w:val="32"/>
          <w:szCs w:val="32"/>
          <w:lang w:val="en-US" w:eastAsia="zh-CN"/>
        </w:rPr>
        <w:t>单招考试</w:t>
      </w:r>
    </w:p>
    <w:p w14:paraId="74BAB7FD">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val="en-US" w:eastAsia="zh-CN"/>
        </w:rPr>
        <w:t xml:space="preserve">第十五条 </w:t>
      </w:r>
      <w:r>
        <w:rPr>
          <w:rFonts w:hint="eastAsia" w:ascii="方正仿宋_GBK" w:hAnsi="方正仿宋_GBK" w:eastAsia="方正仿宋_GBK" w:cs="方正仿宋_GBK"/>
          <w:color w:val="auto"/>
          <w:sz w:val="32"/>
          <w:szCs w:val="32"/>
          <w:lang w:val="en-US" w:eastAsia="zh-CN"/>
        </w:rPr>
        <w:t>学院</w:t>
      </w:r>
      <w:r>
        <w:rPr>
          <w:rFonts w:hint="eastAsia" w:ascii="方正仿宋_GBK" w:hAnsi="方正仿宋_GBK" w:eastAsia="方正仿宋_GBK" w:cs="方正仿宋_GBK"/>
          <w:color w:val="auto"/>
          <w:sz w:val="32"/>
          <w:szCs w:val="32"/>
        </w:rPr>
        <w:t>将本着公平、公正、择优录取的原则，按照国家教育考试相关规定，在省教育厅、省教育考试院的指导和监督下组织单</w:t>
      </w:r>
      <w:r>
        <w:rPr>
          <w:rFonts w:hint="eastAsia" w:ascii="方正仿宋_GBK" w:hAnsi="方正仿宋_GBK" w:eastAsia="方正仿宋_GBK" w:cs="方正仿宋_GBK"/>
          <w:color w:val="auto"/>
          <w:sz w:val="32"/>
          <w:szCs w:val="32"/>
          <w:lang w:val="en-US" w:eastAsia="zh-CN"/>
        </w:rPr>
        <w:t>招考试的相关</w:t>
      </w:r>
      <w:r>
        <w:rPr>
          <w:rFonts w:hint="eastAsia" w:ascii="方正仿宋_GBK" w:hAnsi="方正仿宋_GBK" w:eastAsia="方正仿宋_GBK" w:cs="方正仿宋_GBK"/>
          <w:color w:val="auto"/>
          <w:sz w:val="32"/>
          <w:szCs w:val="32"/>
        </w:rPr>
        <w:t>工作。</w:t>
      </w:r>
    </w:p>
    <w:p w14:paraId="1C40D243">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eastAsia="zh-CN"/>
        </w:rPr>
        <w:t>第十六条</w:t>
      </w:r>
      <w:r>
        <w:rPr>
          <w:rFonts w:hint="eastAsia" w:ascii="方正仿宋_GBK" w:hAnsi="方正仿宋_GBK" w:eastAsia="方正仿宋_GBK" w:cs="方正仿宋_GBK"/>
          <w:b/>
          <w:bCs/>
          <w:color w:val="auto"/>
          <w:sz w:val="32"/>
          <w:szCs w:val="32"/>
          <w:lang w:val="en-US" w:eastAsia="zh-CN"/>
        </w:rPr>
        <w:t xml:space="preserve"> </w:t>
      </w:r>
      <w:r>
        <w:rPr>
          <w:rFonts w:hint="eastAsia" w:ascii="方正仿宋_GBK" w:hAnsi="方正仿宋_GBK" w:eastAsia="方正仿宋_GBK" w:cs="方正仿宋_GBK"/>
          <w:color w:val="auto"/>
          <w:sz w:val="32"/>
          <w:szCs w:val="32"/>
        </w:rPr>
        <w:t>参加</w:t>
      </w:r>
      <w:r>
        <w:rPr>
          <w:rFonts w:hint="eastAsia" w:ascii="方正仿宋_GBK" w:hAnsi="方正仿宋_GBK" w:eastAsia="方正仿宋_GBK" w:cs="方正仿宋_GBK"/>
          <w:color w:val="auto"/>
          <w:sz w:val="32"/>
          <w:szCs w:val="32"/>
          <w:lang w:val="en-US" w:eastAsia="zh-CN"/>
        </w:rPr>
        <w:t>学院</w:t>
      </w:r>
      <w:r>
        <w:rPr>
          <w:rFonts w:hint="eastAsia" w:ascii="方正仿宋_GBK" w:hAnsi="方正仿宋_GBK" w:eastAsia="方正仿宋_GBK" w:cs="方正仿宋_GBK"/>
          <w:color w:val="auto"/>
          <w:sz w:val="32"/>
          <w:szCs w:val="32"/>
        </w:rPr>
        <w:t>今年单招的考生分为应届普通高中毕业考生（具有202</w:t>
      </w:r>
      <w:r>
        <w:rPr>
          <w:rFonts w:hint="eastAsia" w:ascii="方正仿宋_GBK" w:hAnsi="方正仿宋_GBK" w:eastAsia="方正仿宋_GBK" w:cs="方正仿宋_GBK"/>
          <w:color w:val="auto"/>
          <w:sz w:val="32"/>
          <w:szCs w:val="32"/>
          <w:lang w:val="en-US" w:eastAsia="zh-CN"/>
        </w:rPr>
        <w:t>4</w:t>
      </w:r>
      <w:r>
        <w:rPr>
          <w:rFonts w:hint="eastAsia" w:ascii="方正仿宋_GBK" w:hAnsi="方正仿宋_GBK" w:eastAsia="方正仿宋_GBK" w:cs="方正仿宋_GBK"/>
          <w:color w:val="auto"/>
          <w:sz w:val="32"/>
          <w:szCs w:val="32"/>
        </w:rPr>
        <w:t>年普通高中学业水平合格性考试有效成绩）、中职考生和往届普通高中考生及同等学力考生（含普通高中学业水平合格性考试</w:t>
      </w:r>
      <w:r>
        <w:rPr>
          <w:rFonts w:hint="eastAsia" w:ascii="方正仿宋_GBK" w:hAnsi="方正仿宋_GBK" w:eastAsia="方正仿宋_GBK" w:cs="方正仿宋_GBK"/>
          <w:color w:val="auto"/>
          <w:sz w:val="32"/>
          <w:szCs w:val="32"/>
          <w:lang w:val="en-US" w:eastAsia="zh-CN"/>
        </w:rPr>
        <w:t>语、数、外、物四科</w:t>
      </w:r>
      <w:r>
        <w:rPr>
          <w:rFonts w:hint="eastAsia" w:ascii="方正仿宋_GBK" w:hAnsi="方正仿宋_GBK" w:eastAsia="方正仿宋_GBK" w:cs="方正仿宋_GBK"/>
          <w:color w:val="auto"/>
          <w:sz w:val="32"/>
          <w:szCs w:val="32"/>
        </w:rPr>
        <w:t>有效成绩不全的应届普通高中考生）、退役军人</w:t>
      </w:r>
      <w:r>
        <w:rPr>
          <w:rFonts w:hint="eastAsia" w:ascii="方正仿宋_GBK" w:hAnsi="方正仿宋_GBK" w:eastAsia="方正仿宋_GBK" w:cs="方正仿宋_GBK"/>
          <w:color w:val="auto"/>
          <w:sz w:val="32"/>
          <w:szCs w:val="32"/>
          <w:lang w:val="en-US" w:eastAsia="zh-CN"/>
        </w:rPr>
        <w:t>3个</w:t>
      </w:r>
      <w:r>
        <w:rPr>
          <w:rFonts w:hint="eastAsia" w:ascii="方正仿宋_GBK" w:hAnsi="方正仿宋_GBK" w:eastAsia="方正仿宋_GBK" w:cs="方正仿宋_GBK"/>
          <w:color w:val="auto"/>
          <w:sz w:val="32"/>
          <w:szCs w:val="32"/>
        </w:rPr>
        <w:t>大类。</w:t>
      </w:r>
    </w:p>
    <w:p w14:paraId="69F9A287">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eastAsia="zh-CN"/>
        </w:rPr>
        <w:t>第十七条</w:t>
      </w:r>
      <w:r>
        <w:rPr>
          <w:rFonts w:hint="eastAsia" w:ascii="方正仿宋_GBK" w:hAnsi="方正仿宋_GBK" w:eastAsia="方正仿宋_GBK" w:cs="方正仿宋_GBK"/>
          <w:b/>
          <w:bCs/>
          <w:color w:val="auto"/>
          <w:sz w:val="32"/>
          <w:szCs w:val="32"/>
          <w:lang w:val="en-US" w:eastAsia="zh-CN"/>
        </w:rPr>
        <w:t xml:space="preserve"> </w:t>
      </w:r>
      <w:r>
        <w:rPr>
          <w:rFonts w:hint="eastAsia" w:ascii="方正仿宋_GBK" w:hAnsi="方正仿宋_GBK" w:eastAsia="方正仿宋_GBK" w:cs="方正仿宋_GBK"/>
          <w:color w:val="auto"/>
          <w:sz w:val="32"/>
          <w:szCs w:val="32"/>
          <w:lang w:eastAsia="zh-CN"/>
        </w:rPr>
        <w:t>按照“文化素质</w:t>
      </w:r>
      <w:r>
        <w:rPr>
          <w:rFonts w:hint="eastAsia" w:ascii="方正仿宋_GBK" w:hAnsi="方正仿宋_GBK" w:eastAsia="方正仿宋_GBK" w:cs="方正仿宋_GBK"/>
          <w:color w:val="auto"/>
          <w:sz w:val="32"/>
          <w:szCs w:val="32"/>
          <w:lang w:val="en-US" w:eastAsia="zh-CN"/>
        </w:rPr>
        <w:t>+职业技能</w:t>
      </w:r>
      <w:r>
        <w:rPr>
          <w:rFonts w:hint="eastAsia" w:ascii="方正仿宋_GBK" w:hAnsi="方正仿宋_GBK" w:eastAsia="方正仿宋_GBK" w:cs="方正仿宋_GBK"/>
          <w:color w:val="auto"/>
          <w:sz w:val="32"/>
          <w:szCs w:val="32"/>
          <w:lang w:eastAsia="zh-CN"/>
        </w:rPr>
        <w:t>”方式，分类组织</w:t>
      </w:r>
      <w:r>
        <w:rPr>
          <w:rFonts w:hint="eastAsia" w:ascii="方正仿宋_GBK" w:hAnsi="方正仿宋_GBK" w:eastAsia="方正仿宋_GBK" w:cs="方正仿宋_GBK"/>
          <w:color w:val="auto"/>
          <w:sz w:val="32"/>
          <w:szCs w:val="32"/>
        </w:rPr>
        <w:t>考试</w:t>
      </w:r>
      <w:r>
        <w:rPr>
          <w:rFonts w:hint="eastAsia" w:ascii="方正仿宋_GBK" w:hAnsi="方正仿宋_GBK" w:eastAsia="方正仿宋_GBK" w:cs="方正仿宋_GBK"/>
          <w:color w:val="auto"/>
          <w:sz w:val="32"/>
          <w:szCs w:val="32"/>
          <w:lang w:eastAsia="zh-CN"/>
        </w:rPr>
        <w:t>。根据考生的类别，考试按以下方式进行。</w:t>
      </w:r>
    </w:p>
    <w:p w14:paraId="1BC8949A">
      <w:pPr>
        <w:keepNext w:val="0"/>
        <w:keepLines w:val="0"/>
        <w:pageBreakBefore w:val="0"/>
        <w:kinsoku/>
        <w:wordWrap/>
        <w:overflowPunct/>
        <w:topLinePunct w:val="0"/>
        <w:autoSpaceDE/>
        <w:autoSpaceDN/>
        <w:bidi w:val="0"/>
        <w:adjustRightInd/>
        <w:snapToGrid/>
        <w:spacing w:line="560" w:lineRule="exact"/>
        <w:ind w:firstLine="640"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1</w:t>
      </w:r>
      <w:r>
        <w:rPr>
          <w:rFonts w:hint="eastAsia" w:ascii="方正仿宋_GBK" w:hAnsi="方正仿宋_GBK" w:eastAsia="方正仿宋_GBK" w:cs="方正仿宋_GBK"/>
          <w:color w:val="auto"/>
          <w:sz w:val="32"/>
          <w:szCs w:val="32"/>
          <w:lang w:eastAsia="zh-CN"/>
        </w:rPr>
        <w:t>.第一类：</w:t>
      </w:r>
      <w:r>
        <w:rPr>
          <w:rFonts w:hint="eastAsia" w:ascii="方正仿宋_GBK" w:hAnsi="方正仿宋_GBK" w:eastAsia="方正仿宋_GBK" w:cs="方正仿宋_GBK"/>
          <w:color w:val="auto"/>
          <w:sz w:val="32"/>
          <w:szCs w:val="32"/>
        </w:rPr>
        <w:t>应届普通高中毕业考生</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文化素质成绩</w:t>
      </w:r>
      <w:r>
        <w:rPr>
          <w:rFonts w:hint="eastAsia" w:ascii="方正仿宋_GBK" w:hAnsi="方正仿宋_GBK" w:eastAsia="方正仿宋_GBK" w:cs="方正仿宋_GBK"/>
          <w:color w:val="auto"/>
          <w:sz w:val="32"/>
          <w:szCs w:val="32"/>
          <w:lang w:eastAsia="zh-CN"/>
        </w:rPr>
        <w:t>以</w:t>
      </w:r>
      <w:r>
        <w:rPr>
          <w:rFonts w:hint="eastAsia" w:ascii="方正仿宋_GBK" w:hAnsi="方正仿宋_GBK" w:eastAsia="方正仿宋_GBK" w:cs="方正仿宋_GBK"/>
          <w:color w:val="auto"/>
          <w:sz w:val="32"/>
          <w:szCs w:val="32"/>
          <w:lang w:val="en-US" w:eastAsia="zh-CN"/>
        </w:rPr>
        <w:t>学生取得的</w:t>
      </w:r>
      <w:r>
        <w:rPr>
          <w:rFonts w:hint="eastAsia" w:ascii="方正仿宋_GBK" w:hAnsi="方正仿宋_GBK" w:eastAsia="方正仿宋_GBK" w:cs="方正仿宋_GBK"/>
          <w:color w:val="auto"/>
          <w:sz w:val="32"/>
          <w:szCs w:val="32"/>
        </w:rPr>
        <w:t>高中学业水平合格性考试语文、数学、</w:t>
      </w:r>
      <w:r>
        <w:rPr>
          <w:rFonts w:hint="eastAsia" w:ascii="方正仿宋_GBK" w:hAnsi="方正仿宋_GBK" w:eastAsia="方正仿宋_GBK" w:cs="方正仿宋_GBK"/>
          <w:color w:val="auto"/>
          <w:sz w:val="32"/>
          <w:szCs w:val="32"/>
          <w:lang w:val="en-US" w:eastAsia="zh-CN"/>
        </w:rPr>
        <w:t>外语、物理</w:t>
      </w:r>
      <w:r>
        <w:rPr>
          <w:rFonts w:hint="eastAsia" w:ascii="方正仿宋_GBK" w:hAnsi="方正仿宋_GBK" w:eastAsia="方正仿宋_GBK" w:cs="方正仿宋_GBK"/>
          <w:color w:val="auto"/>
          <w:sz w:val="32"/>
          <w:szCs w:val="32"/>
        </w:rPr>
        <w:t>等科目</w:t>
      </w:r>
      <w:r>
        <w:rPr>
          <w:rFonts w:hint="eastAsia" w:ascii="方正仿宋_GBK" w:hAnsi="方正仿宋_GBK" w:eastAsia="方正仿宋_GBK" w:cs="方正仿宋_GBK"/>
          <w:color w:val="auto"/>
          <w:sz w:val="32"/>
          <w:szCs w:val="32"/>
          <w:lang w:eastAsia="zh-CN"/>
        </w:rPr>
        <w:t>有效</w:t>
      </w:r>
      <w:r>
        <w:rPr>
          <w:rFonts w:hint="eastAsia" w:ascii="方正仿宋_GBK" w:hAnsi="方正仿宋_GBK" w:eastAsia="方正仿宋_GBK" w:cs="方正仿宋_GBK"/>
          <w:color w:val="auto"/>
          <w:sz w:val="32"/>
          <w:szCs w:val="32"/>
        </w:rPr>
        <w:t>成绩</w:t>
      </w:r>
      <w:r>
        <w:rPr>
          <w:rFonts w:hint="eastAsia" w:ascii="方正仿宋_GBK" w:hAnsi="方正仿宋_GBK" w:eastAsia="方正仿宋_GBK" w:cs="方正仿宋_GBK"/>
          <w:color w:val="auto"/>
          <w:sz w:val="32"/>
          <w:szCs w:val="32"/>
          <w:lang w:eastAsia="zh-CN"/>
        </w:rPr>
        <w:t>代替</w:t>
      </w:r>
      <w:r>
        <w:rPr>
          <w:rFonts w:hint="eastAsia" w:ascii="方正仿宋_GBK" w:hAnsi="方正仿宋_GBK" w:eastAsia="方正仿宋_GBK" w:cs="方正仿宋_GBK"/>
          <w:color w:val="auto"/>
          <w:sz w:val="32"/>
          <w:szCs w:val="32"/>
        </w:rPr>
        <w:t>。具体折算公式：文化素质成绩=语文成绩+数学成绩+外语成绩×0.5+物理成绩×0.5。</w:t>
      </w:r>
    </w:p>
    <w:p w14:paraId="4BF7C982">
      <w:pPr>
        <w:keepNext w:val="0"/>
        <w:keepLines w:val="0"/>
        <w:pageBreakBefore w:val="0"/>
        <w:kinsoku/>
        <w:wordWrap/>
        <w:overflowPunct/>
        <w:topLinePunct w:val="0"/>
        <w:autoSpaceDE/>
        <w:autoSpaceDN/>
        <w:bidi w:val="0"/>
        <w:adjustRightInd/>
        <w:snapToGrid/>
        <w:spacing w:line="560" w:lineRule="exact"/>
        <w:ind w:firstLine="640"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职业技能测试</w:t>
      </w:r>
      <w:r>
        <w:rPr>
          <w:rFonts w:hint="eastAsia" w:ascii="方正仿宋_GBK" w:hAnsi="方正仿宋_GBK" w:eastAsia="方正仿宋_GBK" w:cs="方正仿宋_GBK"/>
          <w:color w:val="auto"/>
          <w:sz w:val="32"/>
          <w:szCs w:val="32"/>
          <w:lang w:eastAsia="zh-CN"/>
        </w:rPr>
        <w:t>由学院组织，按照人才培养需要，</w:t>
      </w:r>
      <w:r>
        <w:rPr>
          <w:rFonts w:hint="eastAsia" w:ascii="方正仿宋_GBK" w:hAnsi="方正仿宋_GBK" w:eastAsia="方正仿宋_GBK" w:cs="方正仿宋_GBK"/>
          <w:color w:val="auto"/>
          <w:sz w:val="32"/>
          <w:szCs w:val="32"/>
        </w:rPr>
        <w:t>采取</w:t>
      </w:r>
      <w:r>
        <w:rPr>
          <w:rFonts w:hint="eastAsia" w:ascii="方正仿宋_GBK" w:hAnsi="方正仿宋_GBK" w:eastAsia="方正仿宋_GBK" w:cs="方正仿宋_GBK"/>
          <w:b w:val="0"/>
          <w:bCs w:val="0"/>
          <w:color w:val="auto"/>
          <w:sz w:val="32"/>
          <w:szCs w:val="32"/>
          <w:u w:val="none"/>
        </w:rPr>
        <w:t>机试</w:t>
      </w:r>
      <w:r>
        <w:rPr>
          <w:rFonts w:hint="eastAsia" w:ascii="方正仿宋_GBK" w:hAnsi="方正仿宋_GBK" w:eastAsia="方正仿宋_GBK" w:cs="方正仿宋_GBK"/>
          <w:color w:val="auto"/>
          <w:sz w:val="32"/>
          <w:szCs w:val="32"/>
        </w:rPr>
        <w:t>方式</w:t>
      </w:r>
      <w:r>
        <w:rPr>
          <w:rFonts w:hint="eastAsia" w:ascii="方正仿宋_GBK" w:hAnsi="方正仿宋_GBK" w:eastAsia="方正仿宋_GBK" w:cs="方正仿宋_GBK"/>
          <w:color w:val="auto"/>
          <w:sz w:val="32"/>
          <w:szCs w:val="32"/>
          <w:lang w:eastAsia="zh-CN"/>
        </w:rPr>
        <w:t>进行，重点考察学生的职业适应性。</w:t>
      </w:r>
    </w:p>
    <w:p w14:paraId="167446A8">
      <w:pPr>
        <w:keepNext w:val="0"/>
        <w:keepLines w:val="0"/>
        <w:pageBreakBefore w:val="0"/>
        <w:kinsoku/>
        <w:wordWrap/>
        <w:overflowPunct/>
        <w:topLinePunct w:val="0"/>
        <w:autoSpaceDE/>
        <w:autoSpaceDN/>
        <w:bidi w:val="0"/>
        <w:adjustRightInd/>
        <w:snapToGrid/>
        <w:spacing w:line="560" w:lineRule="exact"/>
        <w:ind w:firstLine="640"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2</w:t>
      </w:r>
      <w:r>
        <w:rPr>
          <w:rFonts w:hint="eastAsia" w:ascii="方正仿宋_GBK" w:hAnsi="方正仿宋_GBK" w:eastAsia="方正仿宋_GBK" w:cs="方正仿宋_GBK"/>
          <w:color w:val="auto"/>
          <w:sz w:val="32"/>
          <w:szCs w:val="32"/>
          <w:lang w:eastAsia="zh-CN"/>
        </w:rPr>
        <w:t>.第二类：</w:t>
      </w:r>
      <w:r>
        <w:rPr>
          <w:rFonts w:hint="eastAsia" w:ascii="方正仿宋_GBK" w:hAnsi="方正仿宋_GBK" w:eastAsia="方正仿宋_GBK" w:cs="方正仿宋_GBK"/>
          <w:color w:val="auto"/>
          <w:sz w:val="32"/>
          <w:szCs w:val="32"/>
        </w:rPr>
        <w:t>中职考生和往届普通高中考生及同等学力考生</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lang w:val="en-US" w:eastAsia="zh-CN"/>
        </w:rPr>
        <w:t>文化素质测试由学院依据《中等职业学院公共基础课课程标准》及高中教育阶段语文、数学、英语、</w:t>
      </w:r>
      <w:r>
        <w:rPr>
          <w:rFonts w:hint="eastAsia" w:ascii="方正仿宋_GBK" w:hAnsi="方正仿宋_GBK" w:eastAsia="方正仿宋_GBK" w:cs="方正仿宋_GBK"/>
          <w:color w:val="auto"/>
          <w:sz w:val="32"/>
          <w:szCs w:val="32"/>
          <w:u w:val="none"/>
          <w:lang w:val="en-US" w:eastAsia="zh-CN"/>
        </w:rPr>
        <w:t>物理</w:t>
      </w:r>
      <w:r>
        <w:rPr>
          <w:rFonts w:hint="eastAsia" w:ascii="方正仿宋_GBK" w:hAnsi="方正仿宋_GBK" w:eastAsia="方正仿宋_GBK" w:cs="方正仿宋_GBK"/>
          <w:color w:val="auto"/>
          <w:sz w:val="32"/>
          <w:szCs w:val="32"/>
          <w:lang w:val="en-US" w:eastAsia="zh-CN"/>
        </w:rPr>
        <w:t>等有关内容进行命题及考试。</w:t>
      </w:r>
      <w:r>
        <w:rPr>
          <w:rFonts w:hint="eastAsia" w:ascii="方正仿宋_GBK" w:hAnsi="方正仿宋_GBK" w:eastAsia="方正仿宋_GBK" w:cs="方正仿宋_GBK"/>
          <w:color w:val="auto"/>
          <w:sz w:val="32"/>
          <w:szCs w:val="32"/>
        </w:rPr>
        <w:t>职业技能测试</w:t>
      </w:r>
      <w:r>
        <w:rPr>
          <w:rFonts w:hint="eastAsia" w:ascii="方正仿宋_GBK" w:hAnsi="方正仿宋_GBK" w:eastAsia="方正仿宋_GBK" w:cs="方正仿宋_GBK"/>
          <w:color w:val="auto"/>
          <w:sz w:val="32"/>
          <w:szCs w:val="32"/>
          <w:lang w:eastAsia="zh-CN"/>
        </w:rPr>
        <w:t>由学院组织，按照人才培养需要，</w:t>
      </w:r>
      <w:r>
        <w:rPr>
          <w:rFonts w:hint="eastAsia" w:ascii="方正仿宋_GBK" w:hAnsi="方正仿宋_GBK" w:eastAsia="方正仿宋_GBK" w:cs="方正仿宋_GBK"/>
          <w:color w:val="auto"/>
          <w:sz w:val="32"/>
          <w:szCs w:val="32"/>
        </w:rPr>
        <w:t>采取</w:t>
      </w:r>
      <w:r>
        <w:rPr>
          <w:rFonts w:hint="eastAsia" w:ascii="方正仿宋_GBK" w:hAnsi="方正仿宋_GBK" w:eastAsia="方正仿宋_GBK" w:cs="方正仿宋_GBK"/>
          <w:b w:val="0"/>
          <w:bCs w:val="0"/>
          <w:color w:val="auto"/>
          <w:sz w:val="32"/>
          <w:szCs w:val="32"/>
          <w:u w:val="none"/>
        </w:rPr>
        <w:t>机试</w:t>
      </w:r>
      <w:r>
        <w:rPr>
          <w:rFonts w:hint="eastAsia" w:ascii="方正仿宋_GBK" w:hAnsi="方正仿宋_GBK" w:eastAsia="方正仿宋_GBK" w:cs="方正仿宋_GBK"/>
          <w:color w:val="auto"/>
          <w:sz w:val="32"/>
          <w:szCs w:val="32"/>
        </w:rPr>
        <w:t>方式</w:t>
      </w:r>
      <w:r>
        <w:rPr>
          <w:rFonts w:hint="eastAsia" w:ascii="方正仿宋_GBK" w:hAnsi="方正仿宋_GBK" w:eastAsia="方正仿宋_GBK" w:cs="方正仿宋_GBK"/>
          <w:color w:val="auto"/>
          <w:sz w:val="32"/>
          <w:szCs w:val="32"/>
          <w:lang w:eastAsia="zh-CN"/>
        </w:rPr>
        <w:t>进行，重点考察学生的职业技能。</w:t>
      </w:r>
    </w:p>
    <w:p w14:paraId="2F81A17F">
      <w:pPr>
        <w:keepNext w:val="0"/>
        <w:keepLines w:val="0"/>
        <w:pageBreakBefore w:val="0"/>
        <w:kinsoku/>
        <w:wordWrap/>
        <w:overflowPunct/>
        <w:topLinePunct w:val="0"/>
        <w:autoSpaceDE/>
        <w:autoSpaceDN/>
        <w:bidi w:val="0"/>
        <w:adjustRightInd/>
        <w:snapToGrid/>
        <w:spacing w:line="560" w:lineRule="exact"/>
        <w:ind w:firstLine="640" w:firstLineChars="200"/>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3.第三类：</w:t>
      </w:r>
      <w:r>
        <w:rPr>
          <w:rFonts w:hint="eastAsia" w:ascii="方正仿宋_GBK" w:hAnsi="方正仿宋_GBK" w:eastAsia="方正仿宋_GBK" w:cs="方正仿宋_GBK"/>
          <w:color w:val="auto"/>
          <w:sz w:val="32"/>
          <w:szCs w:val="32"/>
        </w:rPr>
        <w:t>退役军人考生免文化素质测试</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职业技能测试</w:t>
      </w:r>
      <w:r>
        <w:rPr>
          <w:rFonts w:hint="eastAsia" w:ascii="方正仿宋_GBK" w:hAnsi="方正仿宋_GBK" w:eastAsia="方正仿宋_GBK" w:cs="方正仿宋_GBK"/>
          <w:color w:val="auto"/>
          <w:sz w:val="32"/>
          <w:szCs w:val="32"/>
          <w:lang w:eastAsia="zh-CN"/>
        </w:rPr>
        <w:t>由学院组织，参照上述第二类考生职业技能测试方式，</w:t>
      </w:r>
      <w:r>
        <w:rPr>
          <w:rFonts w:hint="eastAsia" w:ascii="方正仿宋_GBK" w:hAnsi="方正仿宋_GBK" w:eastAsia="方正仿宋_GBK" w:cs="方正仿宋_GBK"/>
          <w:color w:val="auto"/>
          <w:sz w:val="32"/>
          <w:szCs w:val="32"/>
        </w:rPr>
        <w:t>参加</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组织的职业技能测试</w:t>
      </w:r>
      <w:r>
        <w:rPr>
          <w:rFonts w:hint="eastAsia" w:ascii="方正仿宋_GBK" w:hAnsi="方正仿宋_GBK" w:eastAsia="方正仿宋_GBK" w:cs="方正仿宋_GBK"/>
          <w:color w:val="auto"/>
          <w:sz w:val="32"/>
          <w:szCs w:val="32"/>
          <w:lang w:val="en-US" w:eastAsia="zh-CN"/>
        </w:rPr>
        <w:t>。</w:t>
      </w:r>
    </w:p>
    <w:p w14:paraId="1BF2BBFD">
      <w:pPr>
        <w:keepNext w:val="0"/>
        <w:keepLines w:val="0"/>
        <w:pageBreakBefore w:val="0"/>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第十八条</w:t>
      </w:r>
      <w:r>
        <w:rPr>
          <w:rFonts w:hint="eastAsia" w:ascii="方正仿宋_GBK" w:hAnsi="方正仿宋_GBK" w:eastAsia="方正仿宋_GBK" w:cs="方正仿宋_GBK"/>
          <w:color w:val="auto"/>
          <w:sz w:val="32"/>
          <w:szCs w:val="32"/>
          <w:lang w:val="en-US" w:eastAsia="zh-CN"/>
        </w:rPr>
        <w:t xml:space="preserve"> 考生的综合成绩为文化素质成绩+职业技能成绩。上述第一类、第二类考生的高职单招综合成绩（总成绩）满分为600分，第三类考生的综合成绩满分为300分。</w:t>
      </w:r>
    </w:p>
    <w:p w14:paraId="72619EA7">
      <w:pPr>
        <w:keepNext w:val="0"/>
        <w:keepLines w:val="0"/>
        <w:pageBreakBefore w:val="0"/>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u w:val="none"/>
          <w:lang w:val="en-US" w:eastAsia="zh-CN"/>
        </w:rPr>
      </w:pPr>
      <w:r>
        <w:rPr>
          <w:rFonts w:hint="eastAsia" w:ascii="方正仿宋_GBK" w:hAnsi="方正仿宋_GBK" w:eastAsia="方正仿宋_GBK" w:cs="方正仿宋_GBK"/>
          <w:b/>
          <w:bCs/>
          <w:color w:val="auto"/>
          <w:sz w:val="32"/>
          <w:szCs w:val="32"/>
          <w:lang w:val="en-US" w:eastAsia="zh-CN"/>
        </w:rPr>
        <w:t>第十九条</w:t>
      </w:r>
      <w:r>
        <w:rPr>
          <w:rFonts w:hint="eastAsia" w:ascii="方正仿宋_GBK" w:hAnsi="方正仿宋_GBK" w:eastAsia="方正仿宋_GBK" w:cs="方正仿宋_GBK"/>
          <w:color w:val="auto"/>
          <w:sz w:val="32"/>
          <w:szCs w:val="32"/>
          <w:lang w:val="en-US" w:eastAsia="zh-CN"/>
        </w:rPr>
        <w:t xml:space="preserve"> 学院针对第二类考生组织的文化素质测试为</w:t>
      </w:r>
      <w:r>
        <w:rPr>
          <w:rFonts w:hint="eastAsia" w:ascii="方正仿宋_GBK" w:hAnsi="方正仿宋_GBK" w:eastAsia="方正仿宋_GBK" w:cs="方正仿宋_GBK"/>
          <w:color w:val="auto"/>
          <w:sz w:val="32"/>
          <w:szCs w:val="32"/>
          <w:u w:val="none"/>
          <w:lang w:val="en-US" w:eastAsia="zh-CN"/>
        </w:rPr>
        <w:t>机试。</w:t>
      </w:r>
    </w:p>
    <w:p w14:paraId="6B052590">
      <w:pPr>
        <w:keepNext w:val="0"/>
        <w:keepLines w:val="0"/>
        <w:pageBreakBefore w:val="0"/>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b w:val="0"/>
          <w:bCs w:val="0"/>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第二十条</w:t>
      </w:r>
      <w:r>
        <w:rPr>
          <w:rFonts w:hint="eastAsia" w:ascii="方正仿宋_GBK" w:hAnsi="方正仿宋_GBK" w:eastAsia="方正仿宋_GBK" w:cs="方正仿宋_GBK"/>
          <w:color w:val="auto"/>
          <w:sz w:val="32"/>
          <w:szCs w:val="32"/>
          <w:lang w:val="en-US" w:eastAsia="zh-CN"/>
        </w:rPr>
        <w:t xml:space="preserve"> </w:t>
      </w:r>
      <w:r>
        <w:rPr>
          <w:rFonts w:hint="eastAsia" w:ascii="方正仿宋_GBK" w:hAnsi="方正仿宋_GBK" w:eastAsia="方正仿宋_GBK" w:cs="方正仿宋_GBK"/>
          <w:color w:val="auto"/>
          <w:sz w:val="32"/>
          <w:szCs w:val="32"/>
          <w:u w:val="none"/>
          <w:lang w:val="en-US" w:eastAsia="zh-CN"/>
        </w:rPr>
        <w:t xml:space="preserve"> 学院文化素质测试、职业技能测试的有关说明、考试范围等信息，将在学院招生信息网上进行公布</w:t>
      </w:r>
      <w:r>
        <w:rPr>
          <w:rFonts w:hint="eastAsia" w:ascii="方正仿宋_GBK" w:hAnsi="方正仿宋_GBK" w:eastAsia="方正仿宋_GBK" w:cs="方正仿宋_GBK"/>
          <w:color w:val="auto"/>
          <w:sz w:val="32"/>
          <w:szCs w:val="32"/>
          <w:lang w:val="en-US" w:eastAsia="zh-CN"/>
        </w:rPr>
        <w:t>。</w:t>
      </w:r>
    </w:p>
    <w:p w14:paraId="31A4458A">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b/>
          <w:bCs/>
          <w:color w:val="auto"/>
          <w:sz w:val="32"/>
          <w:szCs w:val="32"/>
          <w:lang w:val="en-US" w:eastAsia="zh-CN"/>
        </w:rPr>
        <w:t xml:space="preserve">第二十一条 </w:t>
      </w:r>
      <w:r>
        <w:rPr>
          <w:rFonts w:hint="eastAsia" w:ascii="方正仿宋_GBK" w:hAnsi="方正仿宋_GBK" w:eastAsia="方正仿宋_GBK" w:cs="方正仿宋_GBK"/>
          <w:color w:val="auto"/>
          <w:sz w:val="32"/>
          <w:szCs w:val="32"/>
          <w:lang w:val="en-US" w:eastAsia="zh-CN"/>
        </w:rPr>
        <w:t xml:space="preserve"> </w:t>
      </w:r>
      <w:r>
        <w:rPr>
          <w:rFonts w:hint="eastAsia" w:ascii="方正仿宋_GBK" w:hAnsi="方正仿宋_GBK" w:eastAsia="方正仿宋_GBK" w:cs="方正仿宋_GBK"/>
          <w:color w:val="auto"/>
          <w:sz w:val="32"/>
          <w:szCs w:val="32"/>
        </w:rPr>
        <w:t>符合以下免试条件的考生在单招考试前向</w:t>
      </w:r>
      <w:r>
        <w:rPr>
          <w:rFonts w:hint="eastAsia" w:ascii="方正仿宋_GBK" w:hAnsi="方正仿宋_GBK" w:eastAsia="方正仿宋_GBK" w:cs="方正仿宋_GBK"/>
          <w:color w:val="auto"/>
          <w:sz w:val="32"/>
          <w:szCs w:val="32"/>
          <w:lang w:val="en-US" w:eastAsia="zh-CN"/>
        </w:rPr>
        <w:t>学院</w:t>
      </w:r>
      <w:r>
        <w:rPr>
          <w:rFonts w:hint="eastAsia" w:ascii="方正仿宋_GBK" w:hAnsi="方正仿宋_GBK" w:eastAsia="方正仿宋_GBK" w:cs="方正仿宋_GBK"/>
          <w:color w:val="auto"/>
          <w:sz w:val="32"/>
          <w:szCs w:val="32"/>
        </w:rPr>
        <w:t>申请。其中，</w:t>
      </w:r>
      <w:r>
        <w:rPr>
          <w:rFonts w:hint="eastAsia" w:ascii="方正仿宋_GBK" w:hAnsi="方正仿宋_GBK" w:eastAsia="方正仿宋_GBK" w:cs="方正仿宋_GBK"/>
          <w:color w:val="auto"/>
          <w:sz w:val="32"/>
          <w:szCs w:val="32"/>
          <w:lang w:eastAsia="zh-CN"/>
        </w:rPr>
        <w:t>职业技能特长申请免技能测试的考生，须在</w:t>
      </w:r>
      <w:r>
        <w:rPr>
          <w:rFonts w:hint="eastAsia" w:ascii="方正仿宋_GBK" w:hAnsi="方正仿宋_GBK" w:eastAsia="方正仿宋_GBK" w:cs="方正仿宋_GBK"/>
          <w:color w:val="auto"/>
          <w:sz w:val="32"/>
          <w:szCs w:val="32"/>
          <w:lang w:val="en-US" w:eastAsia="zh-CN"/>
        </w:rPr>
        <w:t>2025年2月24日8:00前，通过现场提交的方式，将相关申请材料（含相关证明材料）报学院招生就业处审核。</w:t>
      </w:r>
      <w:r>
        <w:rPr>
          <w:rFonts w:hint="eastAsia" w:ascii="方正仿宋_GBK" w:hAnsi="方正仿宋_GBK" w:eastAsia="方正仿宋_GBK" w:cs="方正仿宋_GBK"/>
          <w:color w:val="auto"/>
          <w:sz w:val="32"/>
          <w:szCs w:val="32"/>
          <w:lang w:eastAsia="zh-CN"/>
        </w:rPr>
        <w:t>免试直接录取的考生不占用单招计划数，使用学院统招计划，在统招录取前完成录取手续办理，有关审核程序和方法由省教育考试院另行规定。</w:t>
      </w:r>
      <w:r>
        <w:rPr>
          <w:rFonts w:hint="default" w:ascii="方正仿宋_GBK" w:hAnsi="方正仿宋_GBK" w:eastAsia="方正仿宋_GBK" w:cs="方正仿宋_GBK"/>
          <w:color w:val="auto"/>
          <w:sz w:val="32"/>
          <w:szCs w:val="32"/>
          <w:lang w:eastAsia="zh-CN"/>
        </w:rPr>
        <w:t>单招报考和填报志愿结束后获相关赛事奖项，符合免试推荐到高职（高专）院校资格的考生，于2025年4月30日</w:t>
      </w:r>
      <w:r>
        <w:rPr>
          <w:rFonts w:hint="eastAsia" w:ascii="方正仿宋_GBK" w:hAnsi="方正仿宋_GBK" w:eastAsia="方正仿宋_GBK" w:cs="方正仿宋_GBK"/>
          <w:color w:val="auto"/>
          <w:sz w:val="32"/>
          <w:szCs w:val="32"/>
          <w:lang w:val="en-US" w:eastAsia="zh-CN"/>
        </w:rPr>
        <w:t>8:00</w:t>
      </w:r>
      <w:r>
        <w:rPr>
          <w:rFonts w:hint="default" w:ascii="方正仿宋_GBK" w:hAnsi="方正仿宋_GBK" w:eastAsia="方正仿宋_GBK" w:cs="方正仿宋_GBK"/>
          <w:color w:val="auto"/>
          <w:sz w:val="32"/>
          <w:szCs w:val="32"/>
          <w:lang w:eastAsia="zh-CN"/>
        </w:rPr>
        <w:t>前向</w:t>
      </w:r>
      <w:r>
        <w:rPr>
          <w:rFonts w:hint="eastAsia" w:ascii="方正仿宋_GBK" w:hAnsi="方正仿宋_GBK" w:eastAsia="方正仿宋_GBK" w:cs="方正仿宋_GBK"/>
          <w:color w:val="auto"/>
          <w:sz w:val="32"/>
          <w:szCs w:val="32"/>
          <w:lang w:val="en-US" w:eastAsia="zh-CN"/>
        </w:rPr>
        <w:t>学院招生就业处</w:t>
      </w:r>
      <w:r>
        <w:rPr>
          <w:rFonts w:hint="default" w:ascii="方正仿宋_GBK" w:hAnsi="方正仿宋_GBK" w:eastAsia="方正仿宋_GBK" w:cs="方正仿宋_GBK"/>
          <w:color w:val="auto"/>
          <w:sz w:val="32"/>
          <w:szCs w:val="32"/>
          <w:lang w:eastAsia="zh-CN"/>
        </w:rPr>
        <w:t>提交申请。</w:t>
      </w:r>
    </w:p>
    <w:p w14:paraId="4F079C4C">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lang w:val="en-US" w:eastAsia="zh-CN"/>
        </w:rPr>
        <w:t>1.</w:t>
      </w:r>
      <w:r>
        <w:rPr>
          <w:rFonts w:hint="eastAsia" w:ascii="方正仿宋_GBK" w:hAnsi="方正仿宋_GBK" w:eastAsia="方正仿宋_GBK" w:cs="方正仿宋_GBK"/>
          <w:color w:val="auto"/>
          <w:sz w:val="32"/>
          <w:szCs w:val="32"/>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方正仿宋_GBK" w:hAnsi="方正仿宋_GBK" w:eastAsia="方正仿宋_GBK" w:cs="方正仿宋_GBK"/>
          <w:color w:val="auto"/>
          <w:sz w:val="32"/>
          <w:szCs w:val="32"/>
          <w:lang w:val="en-US" w:eastAsia="zh-CN"/>
        </w:rPr>
        <w:t>录取到学院就读。</w:t>
      </w:r>
    </w:p>
    <w:p w14:paraId="1B6EC0C5">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lang w:val="en-US" w:eastAsia="zh-CN"/>
        </w:rPr>
        <w:t>2.</w:t>
      </w:r>
      <w:r>
        <w:rPr>
          <w:rFonts w:hint="eastAsia" w:ascii="方正仿宋_GBK" w:hAnsi="方正仿宋_GBK" w:eastAsia="方正仿宋_GBK" w:cs="方正仿宋_GBK"/>
          <w:color w:val="auto"/>
          <w:sz w:val="32"/>
          <w:szCs w:val="32"/>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组织的技能测试取得测试成绩，取两项成绩的较高分数计入综合成绩。</w:t>
      </w:r>
    </w:p>
    <w:p w14:paraId="1B0843C5">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outlineLvl w:val="9"/>
        <w:rPr>
          <w:rFonts w:hint="eastAsia" w:ascii="方正仿宋_GBK" w:hAnsi="方正仿宋_GBK" w:eastAsia="方正仿宋_GBK" w:cs="方正仿宋_GBK"/>
          <w:b w:val="0"/>
          <w:bCs w:val="0"/>
          <w:color w:val="auto"/>
          <w:sz w:val="32"/>
          <w:szCs w:val="32"/>
          <w:lang w:val="en-US" w:eastAsia="zh-CN"/>
        </w:rPr>
      </w:pPr>
      <w:r>
        <w:rPr>
          <w:rFonts w:hint="eastAsia" w:ascii="方正仿宋_GBK" w:hAnsi="方正仿宋_GBK" w:eastAsia="方正仿宋_GBK" w:cs="方正仿宋_GBK"/>
          <w:color w:val="auto"/>
          <w:sz w:val="32"/>
          <w:szCs w:val="32"/>
          <w:lang w:val="en-US" w:eastAsia="zh-CN"/>
        </w:rPr>
        <w:t>3.免试考生的录取专业与其获奖赛项对应（考生如需跨专业报考，则不能享受免试政策）。</w:t>
      </w:r>
    </w:p>
    <w:p w14:paraId="29144A56">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val="en-US" w:eastAsia="zh-CN"/>
        </w:rPr>
        <w:t>第二十二条</w:t>
      </w:r>
      <w:r>
        <w:rPr>
          <w:rFonts w:hint="eastAsia" w:ascii="方正仿宋_GBK" w:hAnsi="方正仿宋_GBK" w:eastAsia="方正仿宋_GBK" w:cs="方正仿宋_GBK"/>
          <w:color w:val="auto"/>
          <w:sz w:val="32"/>
          <w:szCs w:val="32"/>
          <w:lang w:val="en-US" w:eastAsia="zh-CN"/>
        </w:rPr>
        <w:t xml:space="preserve"> 学院</w:t>
      </w:r>
      <w:r>
        <w:rPr>
          <w:rFonts w:hint="eastAsia" w:ascii="方正仿宋_GBK" w:hAnsi="方正仿宋_GBK" w:eastAsia="方正仿宋_GBK" w:cs="方正仿宋_GBK"/>
          <w:color w:val="auto"/>
          <w:sz w:val="32"/>
          <w:szCs w:val="32"/>
        </w:rPr>
        <w:t>按</w:t>
      </w:r>
      <w:r>
        <w:rPr>
          <w:rFonts w:hint="eastAsia" w:ascii="方正仿宋_GBK" w:hAnsi="方正仿宋_GBK" w:eastAsia="方正仿宋_GBK" w:cs="方正仿宋_GBK"/>
          <w:color w:val="auto"/>
          <w:sz w:val="32"/>
          <w:szCs w:val="32"/>
          <w:lang w:val="en-US" w:eastAsia="zh-CN"/>
        </w:rPr>
        <w:t>第</w:t>
      </w:r>
      <w:r>
        <w:rPr>
          <w:rFonts w:hint="eastAsia" w:ascii="方正仿宋_GBK" w:hAnsi="方正仿宋_GBK" w:eastAsia="方正仿宋_GBK" w:cs="方正仿宋_GBK"/>
          <w:color w:val="auto"/>
          <w:sz w:val="32"/>
          <w:szCs w:val="32"/>
        </w:rPr>
        <w:t>一志愿、</w:t>
      </w:r>
      <w:r>
        <w:rPr>
          <w:rFonts w:hint="eastAsia" w:ascii="方正仿宋_GBK" w:hAnsi="方正仿宋_GBK" w:eastAsia="方正仿宋_GBK" w:cs="方正仿宋_GBK"/>
          <w:color w:val="auto"/>
          <w:sz w:val="32"/>
          <w:szCs w:val="32"/>
          <w:lang w:val="en-US" w:eastAsia="zh-CN"/>
        </w:rPr>
        <w:t>第</w:t>
      </w:r>
      <w:r>
        <w:rPr>
          <w:rFonts w:hint="eastAsia" w:ascii="方正仿宋_GBK" w:hAnsi="方正仿宋_GBK" w:eastAsia="方正仿宋_GBK" w:cs="方正仿宋_GBK"/>
          <w:color w:val="auto"/>
          <w:sz w:val="32"/>
          <w:szCs w:val="32"/>
        </w:rPr>
        <w:t>二志愿分别组织</w:t>
      </w:r>
      <w:r>
        <w:rPr>
          <w:rFonts w:hint="eastAsia" w:ascii="方正仿宋_GBK" w:hAnsi="方正仿宋_GBK" w:eastAsia="方正仿宋_GBK" w:cs="方正仿宋_GBK"/>
          <w:color w:val="auto"/>
          <w:sz w:val="32"/>
          <w:szCs w:val="32"/>
          <w:lang w:val="en-US" w:eastAsia="zh-CN"/>
        </w:rPr>
        <w:t>单招</w:t>
      </w:r>
      <w:r>
        <w:rPr>
          <w:rFonts w:hint="eastAsia" w:ascii="方正仿宋_GBK" w:hAnsi="方正仿宋_GBK" w:eastAsia="方正仿宋_GBK" w:cs="方正仿宋_GBK"/>
          <w:color w:val="auto"/>
          <w:sz w:val="32"/>
          <w:szCs w:val="32"/>
        </w:rPr>
        <w:t>考试。第一志愿考试时间为20</w:t>
      </w:r>
      <w:r>
        <w:rPr>
          <w:rFonts w:hint="eastAsia" w:ascii="方正仿宋_GBK" w:hAnsi="方正仿宋_GBK" w:eastAsia="方正仿宋_GBK" w:cs="方正仿宋_GBK"/>
          <w:color w:val="auto"/>
          <w:sz w:val="32"/>
          <w:szCs w:val="32"/>
          <w:lang w:val="en-US" w:eastAsia="zh-CN"/>
        </w:rPr>
        <w:t>25</w:t>
      </w:r>
      <w:r>
        <w:rPr>
          <w:rFonts w:hint="eastAsia" w:ascii="方正仿宋_GBK" w:hAnsi="方正仿宋_GBK" w:eastAsia="方正仿宋_GBK" w:cs="方正仿宋_GBK"/>
          <w:color w:val="auto"/>
          <w:sz w:val="32"/>
          <w:szCs w:val="32"/>
        </w:rPr>
        <w:t>年3月</w:t>
      </w:r>
      <w:r>
        <w:rPr>
          <w:rFonts w:hint="eastAsia" w:ascii="方正仿宋_GBK" w:hAnsi="方正仿宋_GBK" w:eastAsia="方正仿宋_GBK" w:cs="方正仿宋_GBK"/>
          <w:color w:val="auto"/>
          <w:sz w:val="32"/>
          <w:szCs w:val="32"/>
          <w:lang w:val="en-US" w:eastAsia="zh-CN"/>
        </w:rPr>
        <w:t>8</w:t>
      </w:r>
      <w:r>
        <w:rPr>
          <w:rFonts w:hint="eastAsia" w:ascii="方正仿宋_GBK" w:hAnsi="方正仿宋_GBK" w:eastAsia="方正仿宋_GBK" w:cs="方正仿宋_GBK"/>
          <w:color w:val="auto"/>
          <w:sz w:val="32"/>
          <w:szCs w:val="32"/>
        </w:rPr>
        <w:t>日</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lang w:val="en-US" w:eastAsia="zh-CN"/>
        </w:rPr>
        <w:t>若第一志愿生源不足，</w:t>
      </w:r>
      <w:r>
        <w:rPr>
          <w:rFonts w:hint="eastAsia" w:ascii="方正仿宋_GBK" w:hAnsi="方正仿宋_GBK" w:eastAsia="方正仿宋_GBK" w:cs="方正仿宋_GBK"/>
          <w:color w:val="auto"/>
          <w:sz w:val="32"/>
          <w:szCs w:val="32"/>
        </w:rPr>
        <w:t>未完成单招计划</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lang w:val="en-US" w:eastAsia="zh-CN"/>
        </w:rPr>
        <w:t>将</w:t>
      </w:r>
      <w:r>
        <w:rPr>
          <w:rFonts w:hint="eastAsia" w:ascii="方正仿宋_GBK" w:hAnsi="方正仿宋_GBK" w:eastAsia="方正仿宋_GBK" w:cs="方正仿宋_GBK"/>
          <w:color w:val="auto"/>
          <w:sz w:val="32"/>
          <w:szCs w:val="32"/>
        </w:rPr>
        <w:t>组织第二志愿考试，</w:t>
      </w:r>
      <w:r>
        <w:rPr>
          <w:rFonts w:hint="eastAsia" w:ascii="方正仿宋_GBK" w:hAnsi="方正仿宋_GBK" w:eastAsia="方正仿宋_GBK" w:cs="方正仿宋_GBK"/>
          <w:color w:val="auto"/>
          <w:sz w:val="32"/>
          <w:szCs w:val="32"/>
          <w:lang w:val="en-US" w:eastAsia="zh-CN"/>
        </w:rPr>
        <w:t>参考对象为第二志愿报考学院且未被第一志愿学院录取考生，</w:t>
      </w:r>
      <w:r>
        <w:rPr>
          <w:rFonts w:hint="eastAsia" w:ascii="方正仿宋_GBK" w:hAnsi="方正仿宋_GBK" w:eastAsia="方正仿宋_GBK" w:cs="方正仿宋_GBK"/>
          <w:color w:val="auto"/>
          <w:sz w:val="32"/>
          <w:szCs w:val="32"/>
        </w:rPr>
        <w:t>时间为202</w:t>
      </w:r>
      <w:r>
        <w:rPr>
          <w:rFonts w:hint="eastAsia" w:ascii="方正仿宋_GBK" w:hAnsi="方正仿宋_GBK" w:eastAsia="方正仿宋_GBK" w:cs="方正仿宋_GBK"/>
          <w:color w:val="auto"/>
          <w:sz w:val="32"/>
          <w:szCs w:val="32"/>
          <w:lang w:val="en-US" w:eastAsia="zh-CN"/>
        </w:rPr>
        <w:t>5</w:t>
      </w:r>
      <w:r>
        <w:rPr>
          <w:rFonts w:hint="eastAsia" w:ascii="方正仿宋_GBK" w:hAnsi="方正仿宋_GBK" w:eastAsia="方正仿宋_GBK" w:cs="方正仿宋_GBK"/>
          <w:color w:val="auto"/>
          <w:sz w:val="32"/>
          <w:szCs w:val="32"/>
        </w:rPr>
        <w:t>年4月</w:t>
      </w:r>
      <w:r>
        <w:rPr>
          <w:rFonts w:hint="eastAsia" w:ascii="方正仿宋_GBK" w:hAnsi="方正仿宋_GBK" w:eastAsia="方正仿宋_GBK" w:cs="方正仿宋_GBK"/>
          <w:color w:val="auto"/>
          <w:sz w:val="32"/>
          <w:szCs w:val="32"/>
          <w:lang w:val="en-US" w:eastAsia="zh-CN"/>
        </w:rPr>
        <w:t>5</w:t>
      </w:r>
      <w:r>
        <w:rPr>
          <w:rFonts w:hint="eastAsia" w:ascii="方正仿宋_GBK" w:hAnsi="方正仿宋_GBK" w:eastAsia="方正仿宋_GBK" w:cs="方正仿宋_GBK"/>
          <w:color w:val="auto"/>
          <w:sz w:val="32"/>
          <w:szCs w:val="32"/>
        </w:rPr>
        <w:t>日。</w:t>
      </w:r>
      <w:r>
        <w:rPr>
          <w:rFonts w:hint="eastAsia" w:ascii="方正仿宋_GBK" w:hAnsi="方正仿宋_GBK" w:eastAsia="方正仿宋_GBK" w:cs="方正仿宋_GBK"/>
          <w:color w:val="auto"/>
          <w:sz w:val="32"/>
          <w:szCs w:val="32"/>
          <w:lang w:eastAsia="zh-CN"/>
        </w:rPr>
        <w:t>各科目的具体考试时间及地点将在学院招生信息网上另行公布</w:t>
      </w:r>
      <w:r>
        <w:rPr>
          <w:rFonts w:hint="eastAsia" w:ascii="方正仿宋_GBK" w:hAnsi="方正仿宋_GBK" w:eastAsia="方正仿宋_GBK" w:cs="方正仿宋_GBK"/>
          <w:color w:val="auto"/>
          <w:sz w:val="32"/>
          <w:szCs w:val="32"/>
        </w:rPr>
        <w:t>。</w:t>
      </w:r>
    </w:p>
    <w:p w14:paraId="68210C4A">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u w:val="none"/>
          <w:lang w:val="en-US" w:eastAsia="zh-CN"/>
        </w:rPr>
      </w:pPr>
      <w:r>
        <w:rPr>
          <w:rFonts w:hint="eastAsia" w:ascii="方正仿宋_GBK" w:hAnsi="方正仿宋_GBK" w:eastAsia="方正仿宋_GBK" w:cs="方正仿宋_GBK"/>
          <w:b/>
          <w:bCs/>
          <w:color w:val="auto"/>
          <w:sz w:val="32"/>
          <w:szCs w:val="32"/>
          <w:lang w:val="en-US" w:eastAsia="zh-CN"/>
        </w:rPr>
        <w:t xml:space="preserve">第二十三条 </w:t>
      </w:r>
      <w:r>
        <w:rPr>
          <w:rFonts w:hint="eastAsia" w:ascii="方正仿宋_GBK" w:hAnsi="方正仿宋_GBK" w:eastAsia="方正仿宋_GBK" w:cs="方正仿宋_GBK"/>
          <w:color w:val="auto"/>
          <w:sz w:val="32"/>
          <w:szCs w:val="32"/>
          <w:lang w:val="en-US" w:eastAsia="zh-CN"/>
        </w:rPr>
        <w:t>根据物价部门统一规定，高职单招的报考费为80元/人。报考学院第</w:t>
      </w:r>
      <w:r>
        <w:rPr>
          <w:rFonts w:hint="eastAsia" w:ascii="方正仿宋_GBK" w:hAnsi="方正仿宋_GBK" w:eastAsia="方正仿宋_GBK" w:cs="方正仿宋_GBK"/>
          <w:color w:val="auto"/>
          <w:sz w:val="32"/>
          <w:szCs w:val="32"/>
          <w:u w:val="none"/>
          <w:lang w:val="en-US" w:eastAsia="zh-CN"/>
        </w:rPr>
        <w:t>一志愿的报名</w:t>
      </w:r>
      <w:r>
        <w:rPr>
          <w:rFonts w:hint="eastAsia" w:ascii="方正仿宋_GBK" w:hAnsi="方正仿宋_GBK" w:eastAsia="方正仿宋_GBK" w:cs="方正仿宋_GBK"/>
          <w:color w:val="auto"/>
          <w:sz w:val="32"/>
          <w:szCs w:val="32"/>
          <w:u w:val="none"/>
        </w:rPr>
        <w:t>费缴纳</w:t>
      </w:r>
      <w:r>
        <w:rPr>
          <w:rFonts w:hint="eastAsia" w:ascii="方正仿宋_GBK" w:hAnsi="方正仿宋_GBK" w:eastAsia="方正仿宋_GBK" w:cs="方正仿宋_GBK"/>
          <w:color w:val="auto"/>
          <w:sz w:val="32"/>
          <w:szCs w:val="32"/>
          <w:u w:val="none"/>
          <w:lang w:val="en-US" w:eastAsia="zh-CN"/>
        </w:rPr>
        <w:t>时间为2025年3月2日14:00-4日12:00，缴纳方式为线上缴费。未在规定时间内缴费的，不得参加学院单招考试及录取。缴费成功的考生于2025年3月5日8:00-6日17:00登录招生信息网自行打印准考证。第二志愿考生缴费及准考证打印时间学院另行公布。缴费咨询电话：0731-84074296，打印准考证咨询电话：0731-84074167。缴费及准考证打印流程详见学院招生信息网，网址</w:t>
      </w:r>
      <w:r>
        <w:rPr>
          <w:rFonts w:hint="eastAsia" w:ascii="方正仿宋_GBK" w:hAnsi="方正仿宋_GBK" w:eastAsia="方正仿宋_GBK" w:cs="方正仿宋_GBK"/>
          <w:color w:val="auto"/>
          <w:kern w:val="0"/>
          <w:sz w:val="32"/>
          <w:szCs w:val="32"/>
          <w:u w:val="none"/>
          <w:lang w:val="en-US" w:eastAsia="zh-CN" w:bidi="ar-SA"/>
        </w:rPr>
        <w:t>http://zsxx.cseptc.net/</w:t>
      </w:r>
      <w:r>
        <w:rPr>
          <w:rFonts w:hint="eastAsia" w:ascii="方正仿宋_GBK" w:hAnsi="方正仿宋_GBK" w:eastAsia="方正仿宋_GBK" w:cs="方正仿宋_GBK"/>
          <w:color w:val="auto"/>
          <w:sz w:val="32"/>
          <w:szCs w:val="32"/>
          <w:u w:val="none"/>
          <w:lang w:val="en-US" w:eastAsia="zh-CN"/>
        </w:rPr>
        <w:t>。</w:t>
      </w:r>
    </w:p>
    <w:p w14:paraId="022823B3">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ascii="等线" w:hAnsi="等线" w:eastAsia="仿宋" w:cs="仿宋"/>
          <w:color w:val="auto"/>
          <w:sz w:val="28"/>
          <w:szCs w:val="28"/>
        </w:rPr>
      </w:pPr>
      <w:r>
        <w:rPr>
          <w:rFonts w:hint="eastAsia" w:ascii="方正仿宋_GBK" w:hAnsi="方正仿宋_GBK" w:eastAsia="方正仿宋_GBK" w:cs="方正仿宋_GBK"/>
          <w:b/>
          <w:bCs/>
          <w:color w:val="auto"/>
          <w:sz w:val="32"/>
          <w:szCs w:val="32"/>
          <w:lang w:eastAsia="zh-CN"/>
        </w:rPr>
        <w:t>第二十四条</w:t>
      </w:r>
      <w:r>
        <w:rPr>
          <w:rFonts w:hint="eastAsia" w:ascii="方正仿宋_GBK" w:hAnsi="方正仿宋_GBK" w:eastAsia="方正仿宋_GBK" w:cs="方正仿宋_GBK"/>
          <w:color w:val="auto"/>
          <w:sz w:val="32"/>
          <w:szCs w:val="32"/>
          <w:lang w:val="en-US" w:eastAsia="zh-CN"/>
        </w:rPr>
        <w:t xml:space="preserve"> 学院单招考试在省教育考试院的指导下，参照国家教育考试规定进行组织。在学院招生工作领导小组的统筹下，教务处、招生就业处</w:t>
      </w:r>
      <w:r>
        <w:rPr>
          <w:rFonts w:hint="eastAsia" w:ascii="方正仿宋_GBK" w:hAnsi="方正仿宋_GBK" w:eastAsia="方正仿宋_GBK" w:cs="方正仿宋_GBK"/>
          <w:color w:val="auto"/>
          <w:sz w:val="32"/>
          <w:szCs w:val="32"/>
          <w:u w:val="none"/>
          <w:lang w:val="en-US" w:eastAsia="zh-CN"/>
        </w:rPr>
        <w:t>等</w:t>
      </w:r>
      <w:r>
        <w:rPr>
          <w:rFonts w:hint="eastAsia" w:ascii="方正仿宋_GBK" w:hAnsi="方正仿宋_GBK" w:eastAsia="方正仿宋_GBK" w:cs="方正仿宋_GBK"/>
          <w:color w:val="auto"/>
          <w:sz w:val="32"/>
          <w:szCs w:val="32"/>
          <w:lang w:val="en-US" w:eastAsia="zh-CN"/>
        </w:rPr>
        <w:t>部门共同组织考务工作。具体</w:t>
      </w:r>
      <w:r>
        <w:rPr>
          <w:rFonts w:hint="eastAsia" w:ascii="方正仿宋_GBK" w:hAnsi="方正仿宋_GBK" w:eastAsia="方正仿宋_GBK" w:cs="方正仿宋_GBK"/>
          <w:color w:val="auto"/>
          <w:sz w:val="32"/>
          <w:szCs w:val="32"/>
        </w:rPr>
        <w:t>由</w:t>
      </w:r>
      <w:r>
        <w:rPr>
          <w:rFonts w:hint="eastAsia" w:ascii="方正仿宋_GBK" w:hAnsi="方正仿宋_GBK" w:eastAsia="方正仿宋_GBK" w:cs="方正仿宋_GBK"/>
          <w:color w:val="auto"/>
          <w:sz w:val="32"/>
          <w:szCs w:val="32"/>
          <w:u w:val="none"/>
        </w:rPr>
        <w:t>教务处</w:t>
      </w:r>
      <w:r>
        <w:rPr>
          <w:rFonts w:hint="eastAsia" w:ascii="方正仿宋_GBK" w:hAnsi="方正仿宋_GBK" w:eastAsia="方正仿宋_GBK" w:cs="方正仿宋_GBK"/>
          <w:color w:val="auto"/>
          <w:sz w:val="32"/>
          <w:szCs w:val="32"/>
        </w:rPr>
        <w:t>牵头组织命题，并负责其保密工作</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u w:val="none"/>
          <w:lang w:val="en-US" w:eastAsia="zh-CN"/>
        </w:rPr>
        <w:t>教务处</w:t>
      </w:r>
      <w:r>
        <w:rPr>
          <w:rFonts w:hint="eastAsia" w:ascii="方正仿宋_GBK" w:hAnsi="方正仿宋_GBK" w:eastAsia="方正仿宋_GBK" w:cs="方正仿宋_GBK"/>
          <w:color w:val="auto"/>
          <w:sz w:val="32"/>
          <w:szCs w:val="32"/>
        </w:rPr>
        <w:t>负责按国考要求制定具体的组考方案，根据报考人数合理安排考场并组织有序考试</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组织相关专家参照湖南省普通高考评卷及登分工作有关要求</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制定科学合理的评判标准，加大信息公开及结果公示力度，确保考试评判工作公正、透明。</w:t>
      </w:r>
    </w:p>
    <w:p w14:paraId="3E909288">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outlineLvl w:val="9"/>
        <w:rPr>
          <w:rFonts w:hint="eastAsia" w:ascii="方正黑体_GBK" w:hAnsi="方正黑体_GBK" w:eastAsia="方正黑体_GBK" w:cs="方正黑体_GBK"/>
          <w:b w:val="0"/>
          <w:bCs w:val="0"/>
          <w:color w:val="auto"/>
          <w:sz w:val="32"/>
          <w:szCs w:val="32"/>
          <w:lang w:val="en-US" w:eastAsia="zh-CN"/>
        </w:rPr>
      </w:pPr>
      <w:r>
        <w:rPr>
          <w:rFonts w:hint="eastAsia" w:ascii="方正黑体_GBK" w:hAnsi="方正黑体_GBK" w:eastAsia="方正黑体_GBK" w:cs="方正黑体_GBK"/>
          <w:b w:val="0"/>
          <w:bCs w:val="0"/>
          <w:color w:val="auto"/>
          <w:sz w:val="32"/>
          <w:szCs w:val="32"/>
          <w:lang w:val="en-US" w:eastAsia="zh-CN"/>
        </w:rPr>
        <w:t>单招录取</w:t>
      </w:r>
    </w:p>
    <w:p w14:paraId="2CD2987D">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第二十五条</w:t>
      </w:r>
      <w:r>
        <w:rPr>
          <w:rFonts w:hint="eastAsia" w:ascii="方正仿宋_GBK" w:hAnsi="方正仿宋_GBK" w:eastAsia="方正仿宋_GBK" w:cs="方正仿宋_GBK"/>
          <w:color w:val="auto"/>
          <w:sz w:val="32"/>
          <w:szCs w:val="32"/>
          <w:lang w:val="en-US" w:eastAsia="zh-CN"/>
        </w:rPr>
        <w:t xml:space="preserve"> 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成绩不全的应届普通高中毕业考生必须按照中职考生和往届普通高中考生及同等学力考生的要求参加文化素质测试及录取。</w:t>
      </w:r>
    </w:p>
    <w:p w14:paraId="08722D28">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val="en-US" w:eastAsia="zh-CN"/>
        </w:rPr>
        <w:t>第二十六条</w:t>
      </w:r>
      <w:r>
        <w:rPr>
          <w:rFonts w:hint="eastAsia" w:ascii="方正仿宋_GBK" w:hAnsi="方正仿宋_GBK" w:eastAsia="方正仿宋_GBK" w:cs="方正仿宋_GBK"/>
          <w:color w:val="auto"/>
          <w:sz w:val="32"/>
          <w:szCs w:val="32"/>
          <w:lang w:val="en-US" w:eastAsia="zh-CN"/>
        </w:rPr>
        <w:t xml:space="preserve"> 单招录取首先对报考单列计划的考生（第三类考生）进行录取，单列计划只录取第一志愿报考的考生，如有剩余单列计划则转为普通类计划录取第一类、第二类考生。</w:t>
      </w:r>
    </w:p>
    <w:p w14:paraId="384A2DCC">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val="en-US" w:eastAsia="zh-CN"/>
        </w:rPr>
        <w:t xml:space="preserve">第二十七条 </w:t>
      </w:r>
      <w:r>
        <w:rPr>
          <w:rFonts w:hint="eastAsia" w:ascii="方正仿宋_GBK" w:hAnsi="方正仿宋_GBK" w:eastAsia="方正仿宋_GBK" w:cs="方正仿宋_GBK"/>
          <w:color w:val="auto"/>
          <w:sz w:val="32"/>
          <w:szCs w:val="32"/>
        </w:rPr>
        <w:t>普通类考生分类别分专业招生计划以实际参考的考生人数为基数，按专业计划数除以该专业参考总人数再乘以各类别参考人数的计算公式列出各专业</w:t>
      </w:r>
      <w:r>
        <w:rPr>
          <w:rFonts w:hint="eastAsia" w:ascii="方正仿宋_GBK" w:hAnsi="方正仿宋_GBK" w:eastAsia="方正仿宋_GBK" w:cs="方正仿宋_GBK"/>
          <w:color w:val="auto"/>
          <w:sz w:val="32"/>
          <w:szCs w:val="32"/>
          <w:lang w:eastAsia="zh-CN"/>
        </w:rPr>
        <w:t>第一类</w:t>
      </w:r>
      <w:r>
        <w:rPr>
          <w:rFonts w:hint="eastAsia" w:ascii="方正仿宋_GBK" w:hAnsi="方正仿宋_GBK" w:eastAsia="方正仿宋_GBK" w:cs="方正仿宋_GBK"/>
          <w:color w:val="auto"/>
          <w:sz w:val="32"/>
          <w:szCs w:val="32"/>
        </w:rPr>
        <w:t>考生（具有202</w:t>
      </w:r>
      <w:r>
        <w:rPr>
          <w:rFonts w:hint="eastAsia" w:ascii="方正仿宋_GBK" w:hAnsi="方正仿宋_GBK" w:eastAsia="方正仿宋_GBK" w:cs="方正仿宋_GBK"/>
          <w:color w:val="auto"/>
          <w:sz w:val="32"/>
          <w:szCs w:val="32"/>
          <w:lang w:val="en-US" w:eastAsia="zh-CN"/>
        </w:rPr>
        <w:t>4</w:t>
      </w:r>
      <w:r>
        <w:rPr>
          <w:rFonts w:hint="eastAsia" w:ascii="方正仿宋_GBK" w:hAnsi="方正仿宋_GBK" w:eastAsia="方正仿宋_GBK" w:cs="方正仿宋_GBK"/>
          <w:color w:val="auto"/>
          <w:sz w:val="32"/>
          <w:szCs w:val="32"/>
        </w:rPr>
        <w:t>年普通高中学业水平合格性考试有效成绩）、</w:t>
      </w:r>
      <w:r>
        <w:rPr>
          <w:rFonts w:hint="eastAsia" w:ascii="方正仿宋_GBK" w:hAnsi="方正仿宋_GBK" w:eastAsia="方正仿宋_GBK" w:cs="方正仿宋_GBK"/>
          <w:color w:val="auto"/>
          <w:sz w:val="32"/>
          <w:szCs w:val="32"/>
          <w:lang w:eastAsia="zh-CN"/>
        </w:rPr>
        <w:t>第二类考生</w:t>
      </w:r>
      <w:r>
        <w:rPr>
          <w:rFonts w:hint="eastAsia" w:ascii="方正仿宋_GBK" w:hAnsi="方正仿宋_GBK" w:eastAsia="方正仿宋_GBK" w:cs="方正仿宋_GBK"/>
          <w:color w:val="auto"/>
          <w:sz w:val="32"/>
          <w:szCs w:val="32"/>
        </w:rPr>
        <w:t>（含普通高中学业水平合格性考试有效成绩不全的应届普通高中考生</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的实际录取计划数。例如，某专业招生计划共100人，单列</w:t>
      </w:r>
      <w:r>
        <w:rPr>
          <w:rFonts w:hint="eastAsia" w:ascii="方正仿宋_GBK" w:hAnsi="方正仿宋_GBK" w:eastAsia="方正仿宋_GBK" w:cs="方正仿宋_GBK"/>
          <w:color w:val="auto"/>
          <w:sz w:val="32"/>
          <w:szCs w:val="32"/>
          <w:lang w:eastAsia="zh-CN"/>
        </w:rPr>
        <w:t>计划已</w:t>
      </w:r>
      <w:r>
        <w:rPr>
          <w:rFonts w:hint="eastAsia" w:ascii="方正仿宋_GBK" w:hAnsi="方正仿宋_GBK" w:eastAsia="方正仿宋_GBK" w:cs="方正仿宋_GBK"/>
          <w:color w:val="auto"/>
          <w:sz w:val="32"/>
          <w:szCs w:val="32"/>
        </w:rPr>
        <w:t>录取5人，剩余计划95人</w:t>
      </w:r>
      <w:r>
        <w:rPr>
          <w:rFonts w:hint="eastAsia" w:ascii="方正仿宋_GBK" w:hAnsi="方正仿宋_GBK" w:eastAsia="方正仿宋_GBK" w:cs="方正仿宋_GBK"/>
          <w:color w:val="auto"/>
          <w:sz w:val="32"/>
          <w:szCs w:val="32"/>
          <w:lang w:eastAsia="zh-CN"/>
        </w:rPr>
        <w:t>录取第一类、第二类</w:t>
      </w:r>
      <w:r>
        <w:rPr>
          <w:rFonts w:hint="eastAsia" w:ascii="方正仿宋_GBK" w:hAnsi="方正仿宋_GBK" w:eastAsia="方正仿宋_GBK" w:cs="方正仿宋_GBK"/>
          <w:color w:val="auto"/>
          <w:sz w:val="32"/>
          <w:szCs w:val="32"/>
          <w:lang w:val="en-US" w:eastAsia="zh-CN"/>
        </w:rPr>
        <w:t>考</w:t>
      </w:r>
      <w:r>
        <w:rPr>
          <w:rFonts w:hint="eastAsia" w:ascii="方正仿宋_GBK" w:hAnsi="方正仿宋_GBK" w:eastAsia="方正仿宋_GBK" w:cs="方正仿宋_GBK"/>
          <w:color w:val="auto"/>
          <w:sz w:val="32"/>
          <w:szCs w:val="32"/>
          <w:lang w:eastAsia="zh-CN"/>
        </w:rPr>
        <w:t>生</w:t>
      </w:r>
      <w:r>
        <w:rPr>
          <w:rFonts w:hint="eastAsia" w:ascii="方正仿宋_GBK" w:hAnsi="方正仿宋_GBK" w:eastAsia="方正仿宋_GBK" w:cs="方正仿宋_GBK"/>
          <w:color w:val="auto"/>
          <w:sz w:val="32"/>
          <w:szCs w:val="32"/>
        </w:rPr>
        <w:t>，如</w:t>
      </w:r>
      <w:r>
        <w:rPr>
          <w:rFonts w:hint="eastAsia" w:ascii="方正仿宋_GBK" w:hAnsi="方正仿宋_GBK" w:eastAsia="方正仿宋_GBK" w:cs="方正仿宋_GBK"/>
          <w:color w:val="auto"/>
          <w:sz w:val="32"/>
          <w:szCs w:val="32"/>
          <w:lang w:eastAsia="zh-CN"/>
        </w:rPr>
        <w:t>第一类考生</w:t>
      </w:r>
      <w:r>
        <w:rPr>
          <w:rFonts w:hint="eastAsia" w:ascii="方正仿宋_GBK" w:hAnsi="方正仿宋_GBK" w:eastAsia="方正仿宋_GBK" w:cs="方正仿宋_GBK"/>
          <w:color w:val="auto"/>
          <w:sz w:val="32"/>
          <w:szCs w:val="32"/>
        </w:rPr>
        <w:t>、</w:t>
      </w:r>
      <w:r>
        <w:rPr>
          <w:rFonts w:hint="eastAsia" w:ascii="方正仿宋_GBK" w:hAnsi="方正仿宋_GBK" w:eastAsia="方正仿宋_GBK" w:cs="方正仿宋_GBK"/>
          <w:color w:val="auto"/>
          <w:sz w:val="32"/>
          <w:szCs w:val="32"/>
          <w:lang w:eastAsia="zh-CN"/>
        </w:rPr>
        <w:t>第二类考生</w:t>
      </w:r>
      <w:r>
        <w:rPr>
          <w:rFonts w:hint="eastAsia" w:ascii="方正仿宋_GBK" w:hAnsi="方正仿宋_GBK" w:eastAsia="方正仿宋_GBK" w:cs="方正仿宋_GBK"/>
          <w:color w:val="auto"/>
          <w:sz w:val="32"/>
          <w:szCs w:val="32"/>
        </w:rPr>
        <w:t>一志愿</w:t>
      </w:r>
      <w:r>
        <w:rPr>
          <w:rFonts w:hint="eastAsia" w:ascii="方正仿宋_GBK" w:hAnsi="方正仿宋_GBK" w:eastAsia="方正仿宋_GBK" w:cs="方正仿宋_GBK"/>
          <w:color w:val="auto"/>
          <w:sz w:val="32"/>
          <w:szCs w:val="32"/>
          <w:lang w:eastAsia="zh-CN"/>
        </w:rPr>
        <w:t>实际参考的人数分别为</w:t>
      </w:r>
      <w:r>
        <w:rPr>
          <w:rFonts w:hint="eastAsia" w:ascii="方正仿宋_GBK" w:hAnsi="方正仿宋_GBK" w:eastAsia="方正仿宋_GBK" w:cs="方正仿宋_GBK"/>
          <w:color w:val="auto"/>
          <w:sz w:val="32"/>
          <w:szCs w:val="32"/>
        </w:rPr>
        <w:t>150、50人，</w:t>
      </w:r>
      <w:r>
        <w:rPr>
          <w:rFonts w:hint="eastAsia" w:ascii="方正仿宋_GBK" w:hAnsi="方正仿宋_GBK" w:eastAsia="方正仿宋_GBK" w:cs="方正仿宋_GBK"/>
          <w:color w:val="auto"/>
          <w:sz w:val="32"/>
          <w:szCs w:val="32"/>
          <w:lang w:eastAsia="zh-CN"/>
        </w:rPr>
        <w:t>根据同比例</w:t>
      </w:r>
      <w:r>
        <w:rPr>
          <w:rFonts w:hint="eastAsia" w:ascii="方正仿宋_GBK" w:hAnsi="方正仿宋_GBK" w:eastAsia="方正仿宋_GBK" w:cs="方正仿宋_GBK"/>
          <w:color w:val="auto"/>
          <w:sz w:val="32"/>
          <w:szCs w:val="32"/>
          <w:lang w:val="en-US" w:eastAsia="zh-CN"/>
        </w:rPr>
        <w:t>公式</w:t>
      </w:r>
      <w:r>
        <w:rPr>
          <w:rFonts w:hint="eastAsia" w:ascii="方正仿宋_GBK" w:hAnsi="方正仿宋_GBK" w:eastAsia="方正仿宋_GBK" w:cs="方正仿宋_GBK"/>
          <w:color w:val="auto"/>
          <w:sz w:val="32"/>
          <w:szCs w:val="32"/>
          <w:lang w:eastAsia="zh-CN"/>
        </w:rPr>
        <w:t>计算可得第一类、第二类考生的计划数</w:t>
      </w:r>
      <w:r>
        <w:rPr>
          <w:rFonts w:hint="eastAsia" w:ascii="方正仿宋_GBK" w:hAnsi="方正仿宋_GBK" w:eastAsia="方正仿宋_GBK" w:cs="方正仿宋_GBK"/>
          <w:color w:val="auto"/>
          <w:sz w:val="32"/>
          <w:szCs w:val="32"/>
        </w:rPr>
        <w:t>为71、24人</w:t>
      </w:r>
      <w:r>
        <w:rPr>
          <w:rFonts w:hint="eastAsia" w:ascii="方正仿宋_GBK" w:hAnsi="方正仿宋_GBK" w:eastAsia="方正仿宋_GBK" w:cs="方正仿宋_GBK"/>
          <w:color w:val="auto"/>
          <w:sz w:val="32"/>
          <w:szCs w:val="32"/>
          <w:lang w:eastAsia="zh-CN"/>
        </w:rPr>
        <w:t>。第一类考生计划数计算公式：</w:t>
      </w:r>
      <w:r>
        <w:rPr>
          <w:rFonts w:hint="eastAsia" w:ascii="方正仿宋_GBK" w:hAnsi="方正仿宋_GBK" w:eastAsia="方正仿宋_GBK" w:cs="方正仿宋_GBK"/>
          <w:color w:val="auto"/>
          <w:sz w:val="32"/>
          <w:szCs w:val="32"/>
          <w:lang w:val="en-US" w:eastAsia="zh-CN"/>
        </w:rPr>
        <w:t>95/（150+50）×150</w:t>
      </w:r>
      <w:r>
        <w:rPr>
          <w:rFonts w:hint="eastAsia" w:ascii="方正仿宋_GBK" w:hAnsi="方正仿宋_GBK" w:eastAsia="方正仿宋_GBK" w:cs="方正仿宋_GBK"/>
          <w:color w:val="auto"/>
          <w:sz w:val="32"/>
          <w:szCs w:val="32"/>
        </w:rPr>
        <w:t>。各类别各专业计划确定后，录取过程中不再调整和追加。</w:t>
      </w:r>
    </w:p>
    <w:p w14:paraId="682C8B2C">
      <w:pPr>
        <w:keepNext w:val="0"/>
        <w:keepLines w:val="0"/>
        <w:pageBreakBefore w:val="0"/>
        <w:widowControl/>
        <w:shd w:val="clear" w:color="auto" w:fill="FFFFFF"/>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b/>
          <w:bCs/>
          <w:color w:val="auto"/>
          <w:sz w:val="32"/>
          <w:szCs w:val="32"/>
          <w:lang w:eastAsia="zh-CN"/>
        </w:rPr>
        <w:t>第二十八条</w:t>
      </w:r>
      <w:r>
        <w:rPr>
          <w:rFonts w:hint="eastAsia" w:ascii="方正仿宋_GBK" w:hAnsi="方正仿宋_GBK" w:eastAsia="方正仿宋_GBK" w:cs="方正仿宋_GBK"/>
          <w:color w:val="auto"/>
          <w:sz w:val="32"/>
          <w:szCs w:val="32"/>
          <w:lang w:val="en-US" w:eastAsia="zh-CN"/>
        </w:rPr>
        <w:t xml:space="preserve"> 单招录取工作按照“学院负责、招办监督”的原则进行。各类别录取时，按照</w:t>
      </w:r>
      <w:r>
        <w:rPr>
          <w:rFonts w:hint="eastAsia" w:ascii="方正仿宋_GBK" w:hAnsi="方正仿宋_GBK" w:eastAsia="方正仿宋_GBK" w:cs="方正仿宋_GBK"/>
          <w:color w:val="auto"/>
          <w:sz w:val="32"/>
          <w:szCs w:val="32"/>
          <w:u w:val="none"/>
          <w:lang w:val="en-US" w:eastAsia="zh-CN"/>
        </w:rPr>
        <w:t>专业志愿优先的方式</w:t>
      </w:r>
      <w:r>
        <w:rPr>
          <w:rFonts w:hint="eastAsia" w:ascii="方正仿宋_GBK" w:hAnsi="方正仿宋_GBK" w:eastAsia="方正仿宋_GBK" w:cs="方正仿宋_GBK"/>
          <w:color w:val="auto"/>
          <w:sz w:val="32"/>
          <w:szCs w:val="32"/>
          <w:lang w:val="en-US" w:eastAsia="zh-CN"/>
        </w:rPr>
        <w:t>进行。各类别按照以下顺序进行。</w:t>
      </w:r>
    </w:p>
    <w:p w14:paraId="31FBF282">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right="0" w:firstLine="640" w:firstLineChars="200"/>
        <w:jc w:val="both"/>
        <w:textAlignment w:val="auto"/>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lang w:val="en-US" w:eastAsia="zh-CN"/>
        </w:rPr>
        <w:t>1</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退役军人</w:t>
      </w:r>
      <w:r>
        <w:rPr>
          <w:rFonts w:hint="eastAsia" w:ascii="方正仿宋_GBK" w:hAnsi="方正仿宋_GBK" w:eastAsia="方正仿宋_GBK" w:cs="方正仿宋_GBK"/>
          <w:color w:val="auto"/>
          <w:sz w:val="32"/>
          <w:szCs w:val="32"/>
          <w:lang w:eastAsia="zh-CN"/>
        </w:rPr>
        <w:t>考生。</w:t>
      </w:r>
      <w:r>
        <w:rPr>
          <w:rFonts w:hint="eastAsia" w:ascii="方正仿宋_GBK" w:hAnsi="方正仿宋_GBK" w:eastAsia="方正仿宋_GBK" w:cs="方正仿宋_GBK"/>
          <w:color w:val="auto"/>
          <w:sz w:val="32"/>
          <w:szCs w:val="32"/>
          <w:lang w:val="en-US" w:eastAsia="zh-CN"/>
        </w:rPr>
        <w:t>按照职业技能测试成绩从高分到低分的原则进行录取，退役军人计划只录取第一志愿学生，录不满的计划转为普通类计划。</w:t>
      </w:r>
    </w:p>
    <w:p w14:paraId="3D6714B4">
      <w:pPr>
        <w:keepNext w:val="0"/>
        <w:keepLines w:val="0"/>
        <w:pageBreakBefore w:val="0"/>
        <w:widowControl/>
        <w:shd w:val="clear" w:color="auto" w:fill="FFFFFF"/>
        <w:kinsoku/>
        <w:wordWrap/>
        <w:overflowPunct/>
        <w:topLinePunct w:val="0"/>
        <w:autoSpaceDE/>
        <w:autoSpaceDN/>
        <w:bidi w:val="0"/>
        <w:adjustRightInd/>
        <w:snapToGrid/>
        <w:spacing w:line="560" w:lineRule="exact"/>
        <w:jc w:val="left"/>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lang w:val="en-US" w:eastAsia="zh-CN"/>
        </w:rPr>
        <w:t xml:space="preserve">    2.</w:t>
      </w:r>
      <w:r>
        <w:rPr>
          <w:rFonts w:hint="eastAsia" w:ascii="方正仿宋_GBK" w:hAnsi="方正仿宋_GBK" w:eastAsia="方正仿宋_GBK" w:cs="方正仿宋_GBK"/>
          <w:color w:val="auto"/>
          <w:sz w:val="32"/>
          <w:szCs w:val="32"/>
        </w:rPr>
        <w:t>普通类考生</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根据各专业分类别招生计划数，依据考生所填报专业按</w:t>
      </w:r>
      <w:r>
        <w:rPr>
          <w:rFonts w:hint="eastAsia" w:ascii="方正仿宋_GBK" w:hAnsi="方正仿宋_GBK" w:eastAsia="方正仿宋_GBK" w:cs="方正仿宋_GBK"/>
          <w:color w:val="auto"/>
          <w:sz w:val="32"/>
          <w:szCs w:val="32"/>
          <w:lang w:val="en-US" w:eastAsia="zh-CN"/>
        </w:rPr>
        <w:t>综合成绩</w:t>
      </w:r>
      <w:r>
        <w:rPr>
          <w:rFonts w:hint="eastAsia" w:ascii="方正仿宋_GBK" w:hAnsi="方正仿宋_GBK" w:eastAsia="方正仿宋_GBK" w:cs="方正仿宋_GBK"/>
          <w:color w:val="auto"/>
          <w:sz w:val="32"/>
          <w:szCs w:val="32"/>
        </w:rPr>
        <w:t>从高分到低分进行录取，录满为止。如遇生源不足，则对该专业所对应专业组内未录取且服从调剂的考生按</w:t>
      </w:r>
      <w:r>
        <w:rPr>
          <w:rFonts w:hint="eastAsia" w:ascii="方正仿宋_GBK" w:hAnsi="方正仿宋_GBK" w:eastAsia="方正仿宋_GBK" w:cs="方正仿宋_GBK"/>
          <w:color w:val="auto"/>
          <w:sz w:val="32"/>
          <w:szCs w:val="32"/>
          <w:lang w:val="en-US" w:eastAsia="zh-CN"/>
        </w:rPr>
        <w:t>综合成绩</w:t>
      </w:r>
      <w:r>
        <w:rPr>
          <w:rFonts w:hint="eastAsia" w:ascii="方正仿宋_GBK" w:hAnsi="方正仿宋_GBK" w:eastAsia="方正仿宋_GBK" w:cs="方正仿宋_GBK"/>
          <w:color w:val="auto"/>
          <w:sz w:val="32"/>
          <w:szCs w:val="32"/>
        </w:rPr>
        <w:t>从高分到低分进行调剂录取。</w:t>
      </w:r>
    </w:p>
    <w:p w14:paraId="7A23460B">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Autospacing="0" w:after="0" w:afterAutospacing="0" w:line="560" w:lineRule="exact"/>
        <w:ind w:right="0" w:rightChars="0" w:firstLine="643" w:firstLineChars="200"/>
        <w:jc w:val="both"/>
        <w:textAlignment w:val="auto"/>
        <w:outlineLvl w:val="9"/>
        <w:rPr>
          <w:rFonts w:hint="eastAsia" w:ascii="方正仿宋_GBK" w:hAnsi="方正仿宋_GBK" w:eastAsia="方正仿宋_GBK" w:cs="方正仿宋_GBK"/>
          <w:color w:val="auto"/>
          <w:sz w:val="32"/>
          <w:szCs w:val="32"/>
          <w:u w:val="none"/>
          <w:lang w:eastAsia="zh-CN"/>
        </w:rPr>
      </w:pPr>
      <w:r>
        <w:rPr>
          <w:rFonts w:hint="eastAsia" w:ascii="方正仿宋_GBK" w:hAnsi="方正仿宋_GBK" w:eastAsia="方正仿宋_GBK" w:cs="方正仿宋_GBK"/>
          <w:b/>
          <w:bCs/>
          <w:color w:val="auto"/>
          <w:sz w:val="32"/>
          <w:szCs w:val="32"/>
          <w:lang w:val="en-US" w:eastAsia="zh-CN"/>
        </w:rPr>
        <w:t>第二十九条</w:t>
      </w:r>
      <w:r>
        <w:rPr>
          <w:rFonts w:hint="eastAsia" w:ascii="方正仿宋_GBK" w:hAnsi="方正仿宋_GBK" w:eastAsia="方正仿宋_GBK" w:cs="方正仿宋_GBK"/>
          <w:color w:val="auto"/>
          <w:sz w:val="32"/>
          <w:szCs w:val="32"/>
          <w:lang w:val="en-US" w:eastAsia="zh-CN"/>
        </w:rPr>
        <w:t xml:space="preserve"> 对于末位同分的考生，按照以下排序原则进行录取。同分排序规则为：</w:t>
      </w:r>
      <w:r>
        <w:rPr>
          <w:rFonts w:hint="eastAsia" w:ascii="方正仿宋_GBK" w:hAnsi="方正仿宋_GBK" w:eastAsia="方正仿宋_GBK" w:cs="方正仿宋_GBK"/>
          <w:color w:val="auto"/>
          <w:sz w:val="32"/>
          <w:szCs w:val="32"/>
          <w:u w:val="none"/>
          <w:lang w:val="en-US" w:eastAsia="zh-CN"/>
        </w:rPr>
        <w:t>第一类考生按数学、物理、语文、外语的成绩顺序依次排列；第二类考生按职业技能测试、文化素质测试的成绩依次排列，职业技能测试、文化素质测试的成绩同分按照第一类考生规则排列；退役军人通过加试（职业技能测试）方式重新排序。</w:t>
      </w:r>
    </w:p>
    <w:p w14:paraId="0AB512EE">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560" w:lineRule="exact"/>
        <w:ind w:right="0" w:firstLine="643" w:firstLineChars="200"/>
        <w:jc w:val="both"/>
        <w:textAlignment w:val="auto"/>
        <w:outlineLvl w:val="9"/>
        <w:rPr>
          <w:rFonts w:hint="eastAsia" w:ascii="方正仿宋_GBK" w:hAnsi="方正仿宋_GBK" w:eastAsia="方正仿宋_GBK" w:cs="方正仿宋_GBK"/>
          <w:color w:val="auto"/>
          <w:kern w:val="2"/>
          <w:sz w:val="32"/>
          <w:szCs w:val="32"/>
          <w:u w:val="none"/>
          <w:lang w:val="en-US" w:eastAsia="zh-CN" w:bidi="ar-SA"/>
        </w:rPr>
      </w:pPr>
      <w:r>
        <w:rPr>
          <w:rFonts w:hint="eastAsia" w:ascii="方正仿宋_GBK" w:hAnsi="方正仿宋_GBK" w:eastAsia="方正仿宋_GBK" w:cs="方正仿宋_GBK"/>
          <w:b/>
          <w:bCs/>
          <w:color w:val="auto"/>
          <w:sz w:val="32"/>
          <w:szCs w:val="32"/>
          <w:lang w:val="en-US" w:eastAsia="zh-CN"/>
        </w:rPr>
        <w:t xml:space="preserve">第三十条 </w:t>
      </w:r>
      <w:r>
        <w:rPr>
          <w:rFonts w:hint="eastAsia" w:ascii="方正仿宋_GBK" w:hAnsi="方正仿宋_GBK" w:eastAsia="方正仿宋_GBK" w:cs="方正仿宋_GBK"/>
          <w:color w:val="auto"/>
          <w:kern w:val="2"/>
          <w:sz w:val="32"/>
          <w:szCs w:val="32"/>
          <w:u w:val="none"/>
          <w:lang w:val="en-US" w:eastAsia="zh-CN" w:bidi="ar-SA"/>
        </w:rPr>
        <w:t>为保障生源质量，学院提前确定录取合格标准，未合格的不予录取。合格标准是：文化素质与职业技能均需有效成绩。</w:t>
      </w:r>
    </w:p>
    <w:p w14:paraId="0CE605BD">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0" w:beforeAutospacing="0" w:after="0" w:afterAutospacing="0" w:line="560" w:lineRule="exact"/>
        <w:ind w:right="0" w:firstLine="643" w:firstLineChars="200"/>
        <w:jc w:val="both"/>
        <w:textAlignment w:val="auto"/>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b/>
          <w:bCs/>
          <w:color w:val="auto"/>
          <w:sz w:val="32"/>
          <w:szCs w:val="32"/>
          <w:lang w:val="en-US" w:eastAsia="zh-CN"/>
        </w:rPr>
        <w:t>第三十一条</w:t>
      </w:r>
      <w:r>
        <w:rPr>
          <w:rFonts w:hint="eastAsia" w:ascii="方正仿宋_GBK" w:hAnsi="方正仿宋_GBK" w:eastAsia="方正仿宋_GBK" w:cs="方正仿宋_GBK"/>
          <w:color w:val="auto"/>
          <w:kern w:val="2"/>
          <w:sz w:val="32"/>
          <w:szCs w:val="32"/>
          <w:u w:val="none"/>
          <w:lang w:val="en-US" w:eastAsia="zh-CN" w:bidi="ar-SA"/>
        </w:rPr>
        <w:t>学院将通过招生信息网</w:t>
      </w:r>
      <w:r>
        <w:rPr>
          <w:rFonts w:hint="eastAsia" w:ascii="方正仿宋_GBK" w:hAnsi="方正仿宋_GBK" w:eastAsia="方正仿宋_GBK" w:cs="方正仿宋_GBK"/>
          <w:color w:val="auto"/>
          <w:sz w:val="32"/>
          <w:szCs w:val="32"/>
          <w:u w:val="none"/>
          <w:lang w:val="en-US" w:eastAsia="zh-CN"/>
        </w:rPr>
        <w:t>http://zsxx.cseptc.net/</w:t>
      </w:r>
      <w:r>
        <w:rPr>
          <w:rFonts w:hint="eastAsia" w:ascii="方正仿宋_GBK" w:hAnsi="方正仿宋_GBK" w:eastAsia="方正仿宋_GBK" w:cs="方正仿宋_GBK"/>
          <w:color w:val="auto"/>
          <w:sz w:val="32"/>
          <w:szCs w:val="32"/>
          <w:lang w:val="en-US" w:eastAsia="zh-CN"/>
        </w:rPr>
        <w:t>发布单招拟录取名单，拟录取考生需在学院规定时间内办理相关录取确认手续。</w:t>
      </w:r>
    </w:p>
    <w:p w14:paraId="4141B91E">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sz w:val="32"/>
          <w:szCs w:val="32"/>
          <w:u w:val="none"/>
        </w:rPr>
      </w:pPr>
      <w:r>
        <w:rPr>
          <w:rFonts w:hint="eastAsia" w:ascii="方正仿宋_GBK" w:hAnsi="方正仿宋_GBK" w:eastAsia="方正仿宋_GBK" w:cs="方正仿宋_GBK"/>
          <w:b/>
          <w:bCs/>
          <w:color w:val="auto"/>
          <w:sz w:val="32"/>
          <w:szCs w:val="32"/>
          <w:lang w:eastAsia="zh-CN"/>
        </w:rPr>
        <w:t>第三十</w:t>
      </w:r>
      <w:r>
        <w:rPr>
          <w:rFonts w:hint="eastAsia" w:ascii="方正仿宋_GBK" w:hAnsi="方正仿宋_GBK" w:eastAsia="方正仿宋_GBK" w:cs="方正仿宋_GBK"/>
          <w:b/>
          <w:bCs/>
          <w:color w:val="auto"/>
          <w:sz w:val="32"/>
          <w:szCs w:val="32"/>
          <w:lang w:val="en-US" w:eastAsia="zh-CN"/>
        </w:rPr>
        <w:t>二</w:t>
      </w:r>
      <w:r>
        <w:rPr>
          <w:rFonts w:hint="eastAsia" w:ascii="方正仿宋_GBK" w:hAnsi="方正仿宋_GBK" w:eastAsia="方正仿宋_GBK" w:cs="方正仿宋_GBK"/>
          <w:b/>
          <w:bCs/>
          <w:color w:val="auto"/>
          <w:sz w:val="32"/>
          <w:szCs w:val="32"/>
          <w:lang w:eastAsia="zh-CN"/>
        </w:rPr>
        <w:t>条</w:t>
      </w:r>
      <w:r>
        <w:rPr>
          <w:rFonts w:hint="eastAsia" w:ascii="方正仿宋_GBK" w:hAnsi="方正仿宋_GBK" w:eastAsia="方正仿宋_GBK" w:cs="方正仿宋_GBK"/>
          <w:color w:val="auto"/>
          <w:sz w:val="32"/>
          <w:szCs w:val="32"/>
          <w:lang w:val="en-US" w:eastAsia="zh-CN"/>
        </w:rPr>
        <w:t xml:space="preserve"> </w:t>
      </w:r>
      <w:r>
        <w:rPr>
          <w:rFonts w:hint="eastAsia" w:ascii="方正仿宋_GBK" w:hAnsi="方正仿宋_GBK" w:eastAsia="方正仿宋_GBK" w:cs="方正仿宋_GBK"/>
          <w:color w:val="auto"/>
          <w:sz w:val="32"/>
          <w:szCs w:val="32"/>
        </w:rPr>
        <w:t>单招录取的学生不得参加本年度统一高考和普通高校对口招生考试。单招录取的学生不得转学，</w:t>
      </w:r>
      <w:r>
        <w:rPr>
          <w:rFonts w:hint="eastAsia" w:ascii="方正仿宋_GBK" w:hAnsi="方正仿宋_GBK" w:eastAsia="方正仿宋_GBK" w:cs="方正仿宋_GBK"/>
          <w:color w:val="auto"/>
          <w:sz w:val="32"/>
          <w:szCs w:val="32"/>
          <w:u w:val="none"/>
        </w:rPr>
        <w:t>特殊情况需转专业的，</w:t>
      </w:r>
      <w:r>
        <w:rPr>
          <w:rFonts w:hint="eastAsia" w:ascii="方正仿宋_GBK" w:hAnsi="方正仿宋_GBK" w:eastAsia="方正仿宋_GBK" w:cs="方正仿宋_GBK"/>
          <w:color w:val="auto"/>
          <w:sz w:val="32"/>
          <w:szCs w:val="32"/>
          <w:u w:val="none"/>
          <w:lang w:eastAsia="zh-CN"/>
        </w:rPr>
        <w:t>按照</w:t>
      </w:r>
      <w:r>
        <w:rPr>
          <w:rFonts w:hint="eastAsia" w:ascii="方正仿宋_GBK" w:hAnsi="方正仿宋_GBK" w:eastAsia="方正仿宋_GBK" w:cs="方正仿宋_GBK"/>
          <w:color w:val="auto"/>
          <w:sz w:val="32"/>
          <w:szCs w:val="32"/>
          <w:lang w:val="en-US" w:eastAsia="zh-CN"/>
        </w:rPr>
        <w:t>教育部和省教育厅有关规定</w:t>
      </w:r>
      <w:r>
        <w:rPr>
          <w:rFonts w:hint="eastAsia" w:ascii="方正仿宋_GBK" w:hAnsi="方正仿宋_GBK" w:eastAsia="方正仿宋_GBK" w:cs="方正仿宋_GBK"/>
          <w:color w:val="auto"/>
          <w:sz w:val="32"/>
          <w:szCs w:val="32"/>
          <w:u w:val="none"/>
          <w:lang w:val="en-US" w:eastAsia="zh-CN"/>
        </w:rPr>
        <w:t>，在</w:t>
      </w:r>
      <w:r>
        <w:rPr>
          <w:rFonts w:hint="eastAsia" w:ascii="方正仿宋_GBK" w:hAnsi="方正仿宋_GBK" w:eastAsia="方正仿宋_GBK" w:cs="方正仿宋_GBK"/>
          <w:color w:val="auto"/>
          <w:sz w:val="32"/>
          <w:szCs w:val="32"/>
          <w:u w:val="none"/>
        </w:rPr>
        <w:t>本校当年单招专业范围内转换。</w:t>
      </w:r>
    </w:p>
    <w:p w14:paraId="4AE3693D">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sz w:val="32"/>
          <w:szCs w:val="32"/>
          <w:u w:val="none"/>
          <w:lang w:val="en-US" w:eastAsia="zh-CN"/>
        </w:rPr>
      </w:pPr>
      <w:r>
        <w:rPr>
          <w:rFonts w:hint="eastAsia" w:ascii="方正仿宋_GBK" w:hAnsi="方正仿宋_GBK" w:eastAsia="方正仿宋_GBK" w:cs="方正仿宋_GBK"/>
          <w:b/>
          <w:bCs/>
          <w:color w:val="auto"/>
          <w:sz w:val="32"/>
          <w:szCs w:val="32"/>
          <w:lang w:val="en-US" w:eastAsia="zh-CN"/>
        </w:rPr>
        <w:t xml:space="preserve">第三十三条 </w:t>
      </w:r>
      <w:r>
        <w:rPr>
          <w:rFonts w:hint="eastAsia" w:ascii="方正仿宋_GBK" w:hAnsi="方正仿宋_GBK" w:eastAsia="方正仿宋_GBK" w:cs="方正仿宋_GBK"/>
          <w:color w:val="auto"/>
          <w:sz w:val="32"/>
          <w:szCs w:val="32"/>
          <w:lang w:val="en-US" w:eastAsia="zh-CN"/>
        </w:rPr>
        <w:t>单招第一志愿录取结束后，如有剩余专业计划，学院将向社会公布有缺额的专业及计划数，并</w:t>
      </w:r>
      <w:r>
        <w:rPr>
          <w:rFonts w:hint="eastAsia" w:ascii="方正仿宋_GBK" w:hAnsi="方正仿宋_GBK" w:eastAsia="方正仿宋_GBK" w:cs="方正仿宋_GBK"/>
          <w:color w:val="auto"/>
          <w:sz w:val="32"/>
          <w:szCs w:val="32"/>
        </w:rPr>
        <w:t>组织第二志愿报考</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且未被第一志愿录取</w:t>
      </w:r>
      <w:r>
        <w:rPr>
          <w:rFonts w:hint="eastAsia" w:ascii="方正仿宋_GBK" w:hAnsi="方正仿宋_GBK" w:eastAsia="方正仿宋_GBK" w:cs="方正仿宋_GBK"/>
          <w:color w:val="auto"/>
          <w:sz w:val="32"/>
          <w:szCs w:val="32"/>
          <w:lang w:eastAsia="zh-CN"/>
        </w:rPr>
        <w:t>的</w:t>
      </w:r>
      <w:r>
        <w:rPr>
          <w:rFonts w:hint="eastAsia" w:ascii="方正仿宋_GBK" w:hAnsi="方正仿宋_GBK" w:eastAsia="方正仿宋_GBK" w:cs="方正仿宋_GBK"/>
          <w:color w:val="auto"/>
          <w:sz w:val="32"/>
          <w:szCs w:val="32"/>
        </w:rPr>
        <w:t>考生举行考试</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lang w:val="en-US" w:eastAsia="zh-CN"/>
        </w:rPr>
        <w:t>第</w:t>
      </w:r>
      <w:r>
        <w:rPr>
          <w:rFonts w:hint="eastAsia" w:ascii="方正仿宋_GBK" w:hAnsi="方正仿宋_GBK" w:eastAsia="方正仿宋_GBK" w:cs="方正仿宋_GBK"/>
          <w:color w:val="auto"/>
          <w:sz w:val="32"/>
          <w:szCs w:val="32"/>
        </w:rPr>
        <w:t>二志愿考试要求及录取</w:t>
      </w:r>
      <w:r>
        <w:rPr>
          <w:rFonts w:hint="eastAsia" w:ascii="方正仿宋_GBK" w:hAnsi="方正仿宋_GBK" w:eastAsia="方正仿宋_GBK" w:cs="方正仿宋_GBK"/>
          <w:color w:val="auto"/>
          <w:sz w:val="32"/>
          <w:szCs w:val="32"/>
          <w:lang w:val="en-US" w:eastAsia="zh-CN"/>
        </w:rPr>
        <w:t>规</w:t>
      </w:r>
      <w:r>
        <w:rPr>
          <w:rFonts w:hint="eastAsia" w:ascii="方正仿宋_GBK" w:hAnsi="方正仿宋_GBK" w:eastAsia="方正仿宋_GBK" w:cs="方正仿宋_GBK"/>
          <w:color w:val="auto"/>
          <w:sz w:val="32"/>
          <w:szCs w:val="32"/>
        </w:rPr>
        <w:t>则</w:t>
      </w:r>
      <w:r>
        <w:rPr>
          <w:rFonts w:hint="eastAsia" w:ascii="方正仿宋_GBK" w:hAnsi="方正仿宋_GBK" w:eastAsia="方正仿宋_GBK" w:cs="方正仿宋_GBK"/>
          <w:color w:val="auto"/>
          <w:sz w:val="32"/>
          <w:szCs w:val="32"/>
          <w:lang w:val="en-US" w:eastAsia="zh-CN"/>
        </w:rPr>
        <w:t>等</w:t>
      </w:r>
      <w:r>
        <w:rPr>
          <w:rFonts w:hint="eastAsia" w:ascii="方正仿宋_GBK" w:hAnsi="方正仿宋_GBK" w:eastAsia="方正仿宋_GBK" w:cs="方正仿宋_GBK"/>
          <w:color w:val="auto"/>
          <w:sz w:val="32"/>
          <w:szCs w:val="32"/>
        </w:rPr>
        <w:t>与第一志愿</w:t>
      </w:r>
      <w:r>
        <w:rPr>
          <w:rFonts w:hint="eastAsia" w:ascii="方正仿宋_GBK" w:hAnsi="方正仿宋_GBK" w:eastAsia="方正仿宋_GBK" w:cs="方正仿宋_GBK"/>
          <w:color w:val="auto"/>
          <w:sz w:val="32"/>
          <w:szCs w:val="32"/>
          <w:lang w:val="en-US" w:eastAsia="zh-CN"/>
        </w:rPr>
        <w:t>的相关规定</w:t>
      </w:r>
      <w:r>
        <w:rPr>
          <w:rFonts w:hint="eastAsia" w:ascii="方正仿宋_GBK" w:hAnsi="方正仿宋_GBK" w:eastAsia="方正仿宋_GBK" w:cs="方正仿宋_GBK"/>
          <w:color w:val="auto"/>
          <w:sz w:val="32"/>
          <w:szCs w:val="32"/>
        </w:rPr>
        <w:t>一致。</w:t>
      </w:r>
    </w:p>
    <w:p w14:paraId="2E8BA7CF">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outlineLvl w:val="9"/>
        <w:rPr>
          <w:rFonts w:hint="eastAsia" w:ascii="方正黑体_GBK" w:hAnsi="方正黑体_GBK" w:eastAsia="方正黑体_GBK" w:cs="方正黑体_GBK"/>
          <w:b w:val="0"/>
          <w:bCs w:val="0"/>
          <w:color w:val="auto"/>
          <w:sz w:val="32"/>
          <w:szCs w:val="32"/>
          <w:lang w:val="en-US" w:eastAsia="zh-CN"/>
        </w:rPr>
      </w:pPr>
      <w:r>
        <w:rPr>
          <w:rFonts w:hint="eastAsia" w:ascii="方正黑体_GBK" w:hAnsi="方正黑体_GBK" w:eastAsia="方正黑体_GBK" w:cs="方正黑体_GBK"/>
          <w:b w:val="0"/>
          <w:bCs w:val="0"/>
          <w:color w:val="auto"/>
          <w:sz w:val="32"/>
          <w:szCs w:val="32"/>
          <w:lang w:val="en-US" w:eastAsia="zh-CN"/>
        </w:rPr>
        <w:t>监督管理</w:t>
      </w:r>
    </w:p>
    <w:p w14:paraId="2EF8FB62">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val="en-US" w:eastAsia="zh-CN"/>
        </w:rPr>
        <w:t xml:space="preserve">第三十四条 </w:t>
      </w:r>
      <w:r>
        <w:rPr>
          <w:rFonts w:hint="eastAsia" w:ascii="方正仿宋_GBK" w:hAnsi="方正仿宋_GBK" w:eastAsia="方正仿宋_GBK" w:cs="方正仿宋_GBK"/>
          <w:color w:val="auto"/>
          <w:sz w:val="32"/>
          <w:szCs w:val="32"/>
          <w:lang w:val="en-US" w:eastAsia="zh-CN"/>
        </w:rPr>
        <w:t>单招</w:t>
      </w:r>
      <w:r>
        <w:rPr>
          <w:rFonts w:hint="eastAsia" w:ascii="方正仿宋_GBK" w:hAnsi="方正仿宋_GBK" w:eastAsia="方正仿宋_GBK" w:cs="方正仿宋_GBK"/>
          <w:color w:val="auto"/>
          <w:sz w:val="32"/>
          <w:szCs w:val="32"/>
        </w:rPr>
        <w:t>考试及录取结束后，</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lang w:val="en-US" w:eastAsia="zh-CN"/>
        </w:rPr>
        <w:t>按照要求及时</w:t>
      </w:r>
      <w:r>
        <w:rPr>
          <w:rFonts w:hint="eastAsia" w:ascii="方正仿宋_GBK" w:hAnsi="方正仿宋_GBK" w:eastAsia="方正仿宋_GBK" w:cs="方正仿宋_GBK"/>
          <w:color w:val="auto"/>
          <w:sz w:val="32"/>
          <w:szCs w:val="32"/>
        </w:rPr>
        <w:t>将考试结果及拟录取考生情况在</w:t>
      </w:r>
      <w:r>
        <w:rPr>
          <w:rFonts w:hint="eastAsia" w:ascii="方正仿宋_GBK" w:hAnsi="方正仿宋_GBK" w:eastAsia="方正仿宋_GBK" w:cs="方正仿宋_GBK"/>
          <w:color w:val="auto"/>
          <w:sz w:val="32"/>
          <w:szCs w:val="32"/>
          <w:lang w:eastAsia="zh-CN"/>
        </w:rPr>
        <w:t>学院招生信息网</w:t>
      </w:r>
      <w:r>
        <w:rPr>
          <w:rFonts w:hint="eastAsia" w:ascii="方正仿宋_GBK" w:hAnsi="方正仿宋_GBK" w:eastAsia="方正仿宋_GBK" w:cs="方正仿宋_GBK"/>
          <w:color w:val="auto"/>
          <w:sz w:val="32"/>
          <w:szCs w:val="32"/>
        </w:rPr>
        <w:t>公示。</w:t>
      </w:r>
    </w:p>
    <w:p w14:paraId="181FB6FF">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eastAsia="zh-CN"/>
        </w:rPr>
        <w:t>第三十</w:t>
      </w:r>
      <w:r>
        <w:rPr>
          <w:rFonts w:hint="eastAsia" w:ascii="方正仿宋_GBK" w:hAnsi="方正仿宋_GBK" w:eastAsia="方正仿宋_GBK" w:cs="方正仿宋_GBK"/>
          <w:b/>
          <w:bCs/>
          <w:color w:val="auto"/>
          <w:sz w:val="32"/>
          <w:szCs w:val="32"/>
          <w:lang w:val="en-US" w:eastAsia="zh-CN"/>
        </w:rPr>
        <w:t>五</w:t>
      </w:r>
      <w:r>
        <w:rPr>
          <w:rFonts w:hint="eastAsia" w:ascii="方正仿宋_GBK" w:hAnsi="方正仿宋_GBK" w:eastAsia="方正仿宋_GBK" w:cs="方正仿宋_GBK"/>
          <w:b/>
          <w:bCs/>
          <w:color w:val="auto"/>
          <w:sz w:val="32"/>
          <w:szCs w:val="32"/>
          <w:lang w:eastAsia="zh-CN"/>
        </w:rPr>
        <w:t>条</w:t>
      </w:r>
      <w:r>
        <w:rPr>
          <w:rFonts w:hint="eastAsia" w:ascii="方正仿宋_GBK" w:hAnsi="方正仿宋_GBK" w:eastAsia="方正仿宋_GBK" w:cs="方正仿宋_GBK"/>
          <w:b/>
          <w:bCs/>
          <w:color w:val="auto"/>
          <w:sz w:val="32"/>
          <w:szCs w:val="32"/>
          <w:lang w:val="en-US" w:eastAsia="zh-CN"/>
        </w:rPr>
        <w:t xml:space="preserve"> </w:t>
      </w:r>
      <w:r>
        <w:rPr>
          <w:rFonts w:hint="eastAsia" w:ascii="方正仿宋_GBK" w:hAnsi="方正仿宋_GBK" w:eastAsia="方正仿宋_GBK" w:cs="方正仿宋_GBK"/>
          <w:color w:val="auto"/>
          <w:sz w:val="32"/>
          <w:szCs w:val="32"/>
        </w:rPr>
        <w:t>单招期间，确保规范有序、公平公正，</w:t>
      </w:r>
      <w:r>
        <w:rPr>
          <w:rFonts w:hint="eastAsia" w:ascii="方正仿宋_GBK" w:hAnsi="方正仿宋_GBK" w:eastAsia="方正仿宋_GBK" w:cs="方正仿宋_GBK"/>
          <w:color w:val="auto"/>
          <w:sz w:val="32"/>
          <w:szCs w:val="32"/>
          <w:lang w:val="en-US" w:eastAsia="zh-CN"/>
        </w:rPr>
        <w:t>在学院纪委（纪检监察部门</w:t>
      </w:r>
      <w:r>
        <w:rPr>
          <w:rFonts w:hint="eastAsia" w:ascii="方正仿宋_GBK" w:hAnsi="方正仿宋_GBK" w:eastAsia="方正仿宋_GBK" w:cs="方正仿宋_GBK"/>
          <w:color w:val="auto"/>
          <w:sz w:val="32"/>
          <w:szCs w:val="32"/>
          <w:u w:val="none"/>
        </w:rPr>
        <w:t>）</w:t>
      </w:r>
      <w:r>
        <w:rPr>
          <w:rFonts w:hint="eastAsia" w:ascii="方正仿宋_GBK" w:hAnsi="方正仿宋_GBK" w:eastAsia="方正仿宋_GBK" w:cs="方正仿宋_GBK"/>
          <w:color w:val="auto"/>
          <w:sz w:val="32"/>
          <w:szCs w:val="32"/>
          <w:lang w:val="en-US" w:eastAsia="zh-CN"/>
        </w:rPr>
        <w:t>全程监督检查下进行</w:t>
      </w:r>
      <w:r>
        <w:rPr>
          <w:rFonts w:hint="eastAsia" w:ascii="方正仿宋_GBK" w:hAnsi="方正仿宋_GBK" w:eastAsia="方正仿宋_GBK" w:cs="方正仿宋_GBK"/>
          <w:color w:val="auto"/>
          <w:sz w:val="32"/>
          <w:szCs w:val="32"/>
        </w:rPr>
        <w:t>单招考试、录取</w:t>
      </w:r>
      <w:r>
        <w:rPr>
          <w:rFonts w:hint="eastAsia" w:ascii="方正仿宋_GBK" w:hAnsi="方正仿宋_GBK" w:eastAsia="方正仿宋_GBK" w:cs="方正仿宋_GBK"/>
          <w:color w:val="auto"/>
          <w:sz w:val="32"/>
          <w:szCs w:val="32"/>
          <w:lang w:val="en-US" w:eastAsia="zh-CN"/>
        </w:rPr>
        <w:t>等工作。</w:t>
      </w:r>
    </w:p>
    <w:p w14:paraId="2A1AAC8D">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b/>
          <w:bCs/>
          <w:color w:val="auto"/>
          <w:sz w:val="32"/>
          <w:szCs w:val="32"/>
          <w:lang w:eastAsia="zh-CN"/>
        </w:rPr>
        <w:t>第三十</w:t>
      </w:r>
      <w:r>
        <w:rPr>
          <w:rFonts w:hint="eastAsia" w:ascii="方正仿宋_GBK" w:hAnsi="方正仿宋_GBK" w:eastAsia="方正仿宋_GBK" w:cs="方正仿宋_GBK"/>
          <w:b/>
          <w:bCs/>
          <w:color w:val="auto"/>
          <w:sz w:val="32"/>
          <w:szCs w:val="32"/>
          <w:lang w:val="en-US" w:eastAsia="zh-CN"/>
        </w:rPr>
        <w:t>六</w:t>
      </w:r>
      <w:r>
        <w:rPr>
          <w:rFonts w:hint="eastAsia" w:ascii="方正仿宋_GBK" w:hAnsi="方正仿宋_GBK" w:eastAsia="方正仿宋_GBK" w:cs="方正仿宋_GBK"/>
          <w:b/>
          <w:bCs/>
          <w:color w:val="auto"/>
          <w:sz w:val="32"/>
          <w:szCs w:val="32"/>
          <w:lang w:eastAsia="zh-CN"/>
        </w:rPr>
        <w:t>条</w:t>
      </w:r>
      <w:r>
        <w:rPr>
          <w:rFonts w:hint="eastAsia" w:ascii="方正仿宋_GBK" w:hAnsi="方正仿宋_GBK" w:eastAsia="方正仿宋_GBK" w:cs="方正仿宋_GBK"/>
          <w:b/>
          <w:bCs/>
          <w:color w:val="auto"/>
          <w:sz w:val="32"/>
          <w:szCs w:val="32"/>
          <w:lang w:val="en-US" w:eastAsia="zh-CN"/>
        </w:rPr>
        <w:t xml:space="preserve"> </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单招工作严格执行教育部和省教育厅政策规定和纪律要求，没有举办所谓的考前“辅导班”“培训班”，没有与任何社会机构及人员进行单招合作。凡是有社会机构和个人宣传与</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有合作、可以通过“内部指标”方式确保考生录取的，考生可第一时间向教育主管部门反映，遭受相关损失的</w:t>
      </w:r>
      <w:r>
        <w:rPr>
          <w:rFonts w:hint="eastAsia" w:ascii="方正仿宋_GBK" w:hAnsi="方正仿宋_GBK" w:eastAsia="方正仿宋_GBK" w:cs="方正仿宋_GBK"/>
          <w:color w:val="auto"/>
          <w:sz w:val="32"/>
          <w:szCs w:val="32"/>
          <w:lang w:val="en-US" w:eastAsia="zh-CN"/>
        </w:rPr>
        <w:t>可向公安机关反映</w:t>
      </w:r>
      <w:r>
        <w:rPr>
          <w:rFonts w:hint="eastAsia" w:ascii="方正仿宋_GBK" w:hAnsi="方正仿宋_GBK" w:eastAsia="方正仿宋_GBK" w:cs="方正仿宋_GBK"/>
          <w:color w:val="auto"/>
          <w:sz w:val="32"/>
          <w:szCs w:val="32"/>
        </w:rPr>
        <w:t>。</w:t>
      </w:r>
    </w:p>
    <w:p w14:paraId="4EA8EF83">
      <w:pPr>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jc w:val="left"/>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eastAsia="zh-CN"/>
        </w:rPr>
        <w:t>第三十</w:t>
      </w:r>
      <w:r>
        <w:rPr>
          <w:rFonts w:hint="eastAsia" w:ascii="方正仿宋_GBK" w:hAnsi="方正仿宋_GBK" w:eastAsia="方正仿宋_GBK" w:cs="方正仿宋_GBK"/>
          <w:b/>
          <w:bCs/>
          <w:color w:val="auto"/>
          <w:sz w:val="32"/>
          <w:szCs w:val="32"/>
          <w:lang w:val="en-US" w:eastAsia="zh-CN"/>
        </w:rPr>
        <w:t>七</w:t>
      </w:r>
      <w:r>
        <w:rPr>
          <w:rFonts w:hint="eastAsia" w:ascii="方正仿宋_GBK" w:hAnsi="方正仿宋_GBK" w:eastAsia="方正仿宋_GBK" w:cs="方正仿宋_GBK"/>
          <w:b/>
          <w:bCs/>
          <w:color w:val="auto"/>
          <w:sz w:val="32"/>
          <w:szCs w:val="32"/>
          <w:lang w:eastAsia="zh-CN"/>
        </w:rPr>
        <w:t>条</w:t>
      </w:r>
      <w:r>
        <w:rPr>
          <w:rFonts w:hint="eastAsia" w:ascii="方正仿宋_GBK" w:hAnsi="方正仿宋_GBK" w:eastAsia="方正仿宋_GBK" w:cs="方正仿宋_GBK"/>
          <w:b/>
          <w:bCs/>
          <w:color w:val="auto"/>
          <w:sz w:val="32"/>
          <w:szCs w:val="32"/>
          <w:lang w:val="en-US" w:eastAsia="zh-CN"/>
        </w:rPr>
        <w:t xml:space="preserve"> </w:t>
      </w:r>
      <w:r>
        <w:rPr>
          <w:rFonts w:hint="eastAsia" w:ascii="方正仿宋_GBK" w:hAnsi="方正仿宋_GBK" w:eastAsia="方正仿宋_GBK" w:cs="方正仿宋_GBK"/>
          <w:color w:val="auto"/>
          <w:sz w:val="32"/>
          <w:szCs w:val="32"/>
          <w:lang w:val="en-US" w:eastAsia="zh-CN"/>
        </w:rPr>
        <w:t>学院将严格执行招生政策和招生纪律，对于</w:t>
      </w:r>
      <w:r>
        <w:rPr>
          <w:rFonts w:hint="eastAsia" w:ascii="方正仿宋_GBK" w:hAnsi="方正仿宋_GBK" w:eastAsia="方正仿宋_GBK" w:cs="方正仿宋_GBK"/>
          <w:color w:val="auto"/>
          <w:sz w:val="32"/>
          <w:szCs w:val="32"/>
        </w:rPr>
        <w:t>在</w:t>
      </w:r>
      <w:r>
        <w:rPr>
          <w:rFonts w:hint="eastAsia" w:ascii="方正仿宋_GBK" w:hAnsi="方正仿宋_GBK" w:eastAsia="方正仿宋_GBK" w:cs="方正仿宋_GBK"/>
          <w:color w:val="auto"/>
          <w:sz w:val="32"/>
          <w:szCs w:val="32"/>
          <w:lang w:val="en-US" w:eastAsia="zh-CN"/>
        </w:rPr>
        <w:t>单招</w:t>
      </w:r>
      <w:r>
        <w:rPr>
          <w:rFonts w:hint="eastAsia" w:ascii="方正仿宋_GBK" w:hAnsi="方正仿宋_GBK" w:eastAsia="方正仿宋_GBK" w:cs="方正仿宋_GBK"/>
          <w:color w:val="auto"/>
          <w:sz w:val="32"/>
          <w:szCs w:val="32"/>
        </w:rPr>
        <w:t>中违规的考生及工作人员，按《国家教育考试违规处理办法》（教育部令33号）和《普通高等</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招生违规行为处理暂行办法》（教育部令36号）所确定的程序和规定</w:t>
      </w:r>
      <w:r>
        <w:rPr>
          <w:rFonts w:hint="eastAsia" w:ascii="方正仿宋_GBK" w:hAnsi="方正仿宋_GBK" w:eastAsia="方正仿宋_GBK" w:cs="方正仿宋_GBK"/>
          <w:color w:val="auto"/>
          <w:sz w:val="32"/>
          <w:szCs w:val="32"/>
          <w:lang w:val="en-US" w:eastAsia="zh-CN"/>
        </w:rPr>
        <w:t>进行处理</w:t>
      </w:r>
      <w:r>
        <w:rPr>
          <w:rFonts w:hint="eastAsia" w:ascii="方正仿宋_GBK" w:hAnsi="方正仿宋_GBK" w:eastAsia="方正仿宋_GBK" w:cs="方正仿宋_GBK"/>
          <w:color w:val="auto"/>
          <w:sz w:val="32"/>
          <w:szCs w:val="32"/>
        </w:rPr>
        <w:t>。欢迎考生、家长及社会对</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单招工作进行监督，</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的投诉举报电话为</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0731-840741</w:t>
      </w:r>
      <w:r>
        <w:rPr>
          <w:rFonts w:hint="eastAsia" w:ascii="方正仿宋_GBK" w:hAnsi="方正仿宋_GBK" w:eastAsia="方正仿宋_GBK" w:cs="方正仿宋_GBK"/>
          <w:color w:val="auto"/>
          <w:sz w:val="32"/>
          <w:szCs w:val="32"/>
          <w:lang w:val="en-US" w:eastAsia="zh-CN"/>
        </w:rPr>
        <w:t>53</w:t>
      </w:r>
      <w:r>
        <w:rPr>
          <w:rFonts w:hint="eastAsia" w:ascii="方正仿宋_GBK" w:hAnsi="方正仿宋_GBK" w:eastAsia="方正仿宋_GBK" w:cs="方正仿宋_GBK"/>
          <w:color w:val="auto"/>
          <w:sz w:val="32"/>
          <w:szCs w:val="32"/>
        </w:rPr>
        <w:t>。</w:t>
      </w:r>
    </w:p>
    <w:p w14:paraId="3D2E0DE5">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560" w:lineRule="exact"/>
        <w:jc w:val="center"/>
        <w:outlineLvl w:val="9"/>
        <w:rPr>
          <w:rFonts w:hint="eastAsia" w:ascii="方正黑体_GBK" w:hAnsi="方正黑体_GBK" w:eastAsia="方正黑体_GBK" w:cs="方正黑体_GBK"/>
          <w:b w:val="0"/>
          <w:bCs w:val="0"/>
          <w:color w:val="auto"/>
          <w:sz w:val="32"/>
          <w:szCs w:val="32"/>
          <w:lang w:val="en-US" w:eastAsia="zh-CN"/>
        </w:rPr>
      </w:pPr>
      <w:r>
        <w:rPr>
          <w:rFonts w:hint="eastAsia" w:ascii="方正黑体_GBK" w:hAnsi="方正黑体_GBK" w:eastAsia="方正黑体_GBK" w:cs="方正黑体_GBK"/>
          <w:b w:val="0"/>
          <w:bCs w:val="0"/>
          <w:color w:val="auto"/>
          <w:sz w:val="32"/>
          <w:szCs w:val="32"/>
          <w:lang w:val="en-US" w:eastAsia="zh-CN"/>
        </w:rPr>
        <w:t>附则</w:t>
      </w:r>
    </w:p>
    <w:p w14:paraId="4A623ACC">
      <w:pPr>
        <w:pStyle w:val="3"/>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eastAsia="zh-CN"/>
        </w:rPr>
        <w:t>第三十</w:t>
      </w:r>
      <w:r>
        <w:rPr>
          <w:rFonts w:hint="eastAsia" w:ascii="方正仿宋_GBK" w:hAnsi="方正仿宋_GBK" w:eastAsia="方正仿宋_GBK" w:cs="方正仿宋_GBK"/>
          <w:b/>
          <w:bCs/>
          <w:color w:val="auto"/>
          <w:sz w:val="32"/>
          <w:szCs w:val="32"/>
          <w:lang w:val="en-US" w:eastAsia="zh-CN"/>
        </w:rPr>
        <w:t>八</w:t>
      </w:r>
      <w:r>
        <w:rPr>
          <w:rFonts w:hint="eastAsia" w:ascii="方正仿宋_GBK" w:hAnsi="方正仿宋_GBK" w:eastAsia="方正仿宋_GBK" w:cs="方正仿宋_GBK"/>
          <w:b/>
          <w:bCs/>
          <w:color w:val="auto"/>
          <w:sz w:val="32"/>
          <w:szCs w:val="32"/>
          <w:lang w:eastAsia="zh-CN"/>
        </w:rPr>
        <w:t>条</w:t>
      </w:r>
      <w:r>
        <w:rPr>
          <w:rFonts w:hint="eastAsia" w:ascii="方正仿宋_GBK" w:hAnsi="方正仿宋_GBK" w:eastAsia="方正仿宋_GBK" w:cs="方正仿宋_GBK"/>
          <w:color w:val="auto"/>
          <w:sz w:val="32"/>
          <w:szCs w:val="32"/>
          <w:lang w:val="en-US" w:eastAsia="zh-CN"/>
        </w:rPr>
        <w:t xml:space="preserve"> </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对新生入学设有“绿色通道”。家庭经济特别困难的新生，可持乡（镇）以上人民政府证明向</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学生工作处申请办理学费缓交手续，并可根据国家有关规定申请国家助学贷款。</w:t>
      </w:r>
      <w:r>
        <w:rPr>
          <w:rFonts w:hint="eastAsia" w:ascii="方正仿宋_GBK" w:hAnsi="方正仿宋_GBK" w:eastAsia="方正仿宋_GBK" w:cs="方正仿宋_GBK"/>
          <w:color w:val="auto"/>
          <w:sz w:val="32"/>
          <w:szCs w:val="32"/>
          <w:lang w:val="en-US" w:eastAsia="zh-CN"/>
        </w:rPr>
        <w:t>同时学院设立优秀学生奖励基金；对家庭经济困难学生按相关政策安排勤工俭学。</w:t>
      </w:r>
    </w:p>
    <w:p w14:paraId="7B779E10">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eastAsia="zh-CN"/>
        </w:rPr>
        <w:t>第</w:t>
      </w:r>
      <w:r>
        <w:rPr>
          <w:rFonts w:hint="eastAsia" w:ascii="方正仿宋_GBK" w:hAnsi="方正仿宋_GBK" w:eastAsia="方正仿宋_GBK" w:cs="方正仿宋_GBK"/>
          <w:b/>
          <w:bCs/>
          <w:color w:val="auto"/>
          <w:sz w:val="32"/>
          <w:szCs w:val="32"/>
          <w:lang w:val="en-US" w:eastAsia="zh-CN"/>
        </w:rPr>
        <w:t>三十九</w:t>
      </w:r>
      <w:r>
        <w:rPr>
          <w:rFonts w:hint="eastAsia" w:ascii="方正仿宋_GBK" w:hAnsi="方正仿宋_GBK" w:eastAsia="方正仿宋_GBK" w:cs="方正仿宋_GBK"/>
          <w:b/>
          <w:bCs/>
          <w:color w:val="auto"/>
          <w:sz w:val="32"/>
          <w:szCs w:val="32"/>
          <w:lang w:eastAsia="zh-CN"/>
        </w:rPr>
        <w:t>条</w:t>
      </w:r>
      <w:r>
        <w:rPr>
          <w:rFonts w:hint="eastAsia" w:ascii="方正仿宋_GBK" w:hAnsi="方正仿宋_GBK" w:eastAsia="方正仿宋_GBK" w:cs="方正仿宋_GBK"/>
          <w:b/>
          <w:bCs/>
          <w:color w:val="auto"/>
          <w:sz w:val="32"/>
          <w:szCs w:val="32"/>
          <w:lang w:val="en-US" w:eastAsia="zh-CN"/>
        </w:rPr>
        <w:t xml:space="preserve"> </w:t>
      </w:r>
      <w:r>
        <w:rPr>
          <w:rFonts w:hint="eastAsia" w:ascii="方正仿宋_GBK" w:hAnsi="方正仿宋_GBK" w:eastAsia="方正仿宋_GBK" w:cs="方正仿宋_GBK"/>
          <w:color w:val="auto"/>
          <w:sz w:val="32"/>
          <w:szCs w:val="32"/>
        </w:rPr>
        <w:t>录取考生的体检标准按照教育部、卫生部、中国残疾人联合会颁布的《普通高等</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招生体检工作指导意见》及有关补充规定执行。</w:t>
      </w:r>
    </w:p>
    <w:p w14:paraId="6EB51DAB">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b/>
          <w:bCs/>
          <w:color w:val="auto"/>
          <w:sz w:val="32"/>
          <w:szCs w:val="32"/>
        </w:rPr>
      </w:pPr>
      <w:r>
        <w:rPr>
          <w:rFonts w:hint="eastAsia" w:ascii="方正仿宋_GBK" w:hAnsi="方正仿宋_GBK" w:eastAsia="方正仿宋_GBK" w:cs="方正仿宋_GBK"/>
          <w:b/>
          <w:bCs/>
          <w:color w:val="auto"/>
          <w:sz w:val="32"/>
          <w:szCs w:val="32"/>
          <w:lang w:eastAsia="zh-CN"/>
        </w:rPr>
        <w:t>第</w:t>
      </w:r>
      <w:r>
        <w:rPr>
          <w:rFonts w:hint="eastAsia" w:ascii="方正仿宋_GBK" w:hAnsi="方正仿宋_GBK" w:eastAsia="方正仿宋_GBK" w:cs="方正仿宋_GBK"/>
          <w:b/>
          <w:bCs/>
          <w:color w:val="auto"/>
          <w:sz w:val="32"/>
          <w:szCs w:val="32"/>
          <w:lang w:val="en-US" w:eastAsia="zh-CN"/>
        </w:rPr>
        <w:t>四十</w:t>
      </w:r>
      <w:r>
        <w:rPr>
          <w:rFonts w:hint="eastAsia" w:ascii="方正仿宋_GBK" w:hAnsi="方正仿宋_GBK" w:eastAsia="方正仿宋_GBK" w:cs="方正仿宋_GBK"/>
          <w:b/>
          <w:bCs/>
          <w:color w:val="auto"/>
          <w:sz w:val="32"/>
          <w:szCs w:val="32"/>
          <w:lang w:eastAsia="zh-CN"/>
        </w:rPr>
        <w:t>条</w:t>
      </w:r>
      <w:r>
        <w:rPr>
          <w:rFonts w:hint="eastAsia" w:ascii="方正仿宋_GBK" w:hAnsi="方正仿宋_GBK" w:eastAsia="方正仿宋_GBK" w:cs="方正仿宋_GBK"/>
          <w:b/>
          <w:bCs/>
          <w:color w:val="auto"/>
          <w:sz w:val="32"/>
          <w:szCs w:val="32"/>
          <w:lang w:val="en-US" w:eastAsia="zh-CN"/>
        </w:rPr>
        <w:t xml:space="preserve"> </w:t>
      </w:r>
      <w:r>
        <w:rPr>
          <w:rFonts w:hint="eastAsia" w:ascii="方正仿宋_GBK" w:hAnsi="方正仿宋_GBK" w:eastAsia="方正仿宋_GBK" w:cs="方正仿宋_GBK"/>
          <w:color w:val="auto"/>
          <w:sz w:val="32"/>
          <w:szCs w:val="32"/>
        </w:rPr>
        <w:t>录取考生的思想政治品德考核和身体健康状况检查均采用考生报考普通高校招生考试或对口招生考试时所采集的信息，学生对提供的信息真实性负责。</w:t>
      </w:r>
    </w:p>
    <w:p w14:paraId="6FB75F71">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eastAsia="zh-CN"/>
        </w:rPr>
        <w:t>第四十</w:t>
      </w:r>
      <w:r>
        <w:rPr>
          <w:rFonts w:hint="eastAsia" w:ascii="方正仿宋_GBK" w:hAnsi="方正仿宋_GBK" w:eastAsia="方正仿宋_GBK" w:cs="方正仿宋_GBK"/>
          <w:b/>
          <w:bCs/>
          <w:color w:val="auto"/>
          <w:sz w:val="32"/>
          <w:szCs w:val="32"/>
          <w:lang w:val="en-US" w:eastAsia="zh-CN"/>
        </w:rPr>
        <w:t>一</w:t>
      </w:r>
      <w:r>
        <w:rPr>
          <w:rFonts w:hint="eastAsia" w:ascii="方正仿宋_GBK" w:hAnsi="方正仿宋_GBK" w:eastAsia="方正仿宋_GBK" w:cs="方正仿宋_GBK"/>
          <w:b/>
          <w:bCs/>
          <w:color w:val="auto"/>
          <w:sz w:val="32"/>
          <w:szCs w:val="32"/>
          <w:lang w:eastAsia="zh-CN"/>
        </w:rPr>
        <w:t>条</w:t>
      </w:r>
      <w:r>
        <w:rPr>
          <w:rFonts w:hint="eastAsia" w:ascii="方正仿宋_GBK" w:hAnsi="方正仿宋_GBK" w:eastAsia="方正仿宋_GBK" w:cs="方正仿宋_GBK"/>
          <w:color w:val="auto"/>
          <w:sz w:val="32"/>
          <w:szCs w:val="32"/>
          <w:lang w:val="en-US" w:eastAsia="zh-CN"/>
        </w:rPr>
        <w:t xml:space="preserve"> </w:t>
      </w:r>
      <w:r>
        <w:rPr>
          <w:rFonts w:hint="eastAsia" w:ascii="方正仿宋_GBK" w:hAnsi="方正仿宋_GBK" w:eastAsia="方正仿宋_GBK" w:cs="方正仿宋_GBK"/>
          <w:color w:val="auto"/>
          <w:sz w:val="32"/>
          <w:szCs w:val="32"/>
        </w:rPr>
        <w:t>新生入学后3个月内，</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按照招生政策规定对新生报名资格、身心状况、录取手续及程序、录取资格、优惠资格及相关证明材料等进行复查复核。对复查复核发现的问题，</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将集中研究处理，凡属弄虚作假者，一经查实，取消其入学资格。对于弄虚作假情节严重或涉嫌冒名顶替上大学的，移送相关部门调查处理。</w:t>
      </w:r>
    </w:p>
    <w:p w14:paraId="47FD9A43">
      <w:pPr>
        <w:keepNext w:val="0"/>
        <w:keepLines w:val="0"/>
        <w:pageBreakBefore w:val="0"/>
        <w:numPr>
          <w:ilvl w:val="0"/>
          <w:numId w:val="0"/>
        </w:numPr>
        <w:shd w:val="clear" w:color="auto" w:fill="FFFFFF"/>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eastAsia="zh-CN"/>
        </w:rPr>
        <w:t>第四十</w:t>
      </w:r>
      <w:r>
        <w:rPr>
          <w:rFonts w:hint="eastAsia" w:ascii="方正仿宋_GBK" w:hAnsi="方正仿宋_GBK" w:eastAsia="方正仿宋_GBK" w:cs="方正仿宋_GBK"/>
          <w:b/>
          <w:bCs/>
          <w:color w:val="auto"/>
          <w:sz w:val="32"/>
          <w:szCs w:val="32"/>
          <w:lang w:val="en-US" w:eastAsia="zh-CN"/>
        </w:rPr>
        <w:t>二</w:t>
      </w:r>
      <w:r>
        <w:rPr>
          <w:rFonts w:hint="eastAsia" w:ascii="方正仿宋_GBK" w:hAnsi="方正仿宋_GBK" w:eastAsia="方正仿宋_GBK" w:cs="方正仿宋_GBK"/>
          <w:b/>
          <w:bCs/>
          <w:color w:val="auto"/>
          <w:sz w:val="32"/>
          <w:szCs w:val="32"/>
          <w:lang w:eastAsia="zh-CN"/>
        </w:rPr>
        <w:t>条</w:t>
      </w:r>
      <w:r>
        <w:rPr>
          <w:rFonts w:hint="eastAsia" w:ascii="方正仿宋_GBK" w:hAnsi="方正仿宋_GBK" w:eastAsia="方正仿宋_GBK" w:cs="方正仿宋_GBK"/>
          <w:color w:val="auto"/>
          <w:sz w:val="32"/>
          <w:szCs w:val="32"/>
          <w:lang w:val="en-US" w:eastAsia="zh-CN"/>
        </w:rPr>
        <w:t xml:space="preserve"> </w:t>
      </w:r>
      <w:r>
        <w:rPr>
          <w:rFonts w:hint="eastAsia" w:ascii="方正仿宋_GBK" w:hAnsi="方正仿宋_GBK" w:eastAsia="方正仿宋_GBK" w:cs="方正仿宋_GBK"/>
          <w:color w:val="auto"/>
          <w:sz w:val="32"/>
          <w:szCs w:val="32"/>
        </w:rPr>
        <w:t>本章程通过湖南省教育考试院和学院</w:t>
      </w:r>
      <w:r>
        <w:rPr>
          <w:rFonts w:hint="eastAsia" w:ascii="方正仿宋_GBK" w:hAnsi="方正仿宋_GBK" w:eastAsia="方正仿宋_GBK" w:cs="方正仿宋_GBK"/>
          <w:color w:val="auto"/>
          <w:sz w:val="32"/>
          <w:szCs w:val="32"/>
          <w:lang w:eastAsia="zh-CN"/>
        </w:rPr>
        <w:t>招生信息网</w:t>
      </w:r>
      <w:r>
        <w:rPr>
          <w:rFonts w:hint="eastAsia" w:ascii="方正仿宋_GBK" w:hAnsi="方正仿宋_GBK" w:eastAsia="方正仿宋_GBK" w:cs="方正仿宋_GBK"/>
          <w:color w:val="auto"/>
          <w:sz w:val="32"/>
          <w:szCs w:val="32"/>
        </w:rPr>
        <w:t>向社会发布，对于各种媒体节选公布的章程内容，如理解有误，以</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公布的完整单独招生章程为准。</w:t>
      </w:r>
    </w:p>
    <w:p w14:paraId="581589D5">
      <w:pPr>
        <w:pStyle w:val="3"/>
        <w:keepNext w:val="0"/>
        <w:keepLines w:val="0"/>
        <w:pageBreakBefore w:val="0"/>
        <w:numPr>
          <w:ilvl w:val="0"/>
          <w:numId w:val="0"/>
        </w:numPr>
        <w:kinsoku/>
        <w:wordWrap/>
        <w:overflowPunct/>
        <w:topLinePunct w:val="0"/>
        <w:autoSpaceDE/>
        <w:autoSpaceDN/>
        <w:bidi w:val="0"/>
        <w:adjustRightInd/>
        <w:snapToGrid/>
        <w:spacing w:line="560" w:lineRule="exact"/>
        <w:ind w:firstLine="643" w:firstLineChars="200"/>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b/>
          <w:bCs/>
          <w:color w:val="auto"/>
          <w:sz w:val="32"/>
          <w:szCs w:val="32"/>
          <w:lang w:eastAsia="zh-CN"/>
        </w:rPr>
        <w:t>第四十</w:t>
      </w:r>
      <w:r>
        <w:rPr>
          <w:rFonts w:hint="eastAsia" w:ascii="方正仿宋_GBK" w:hAnsi="方正仿宋_GBK" w:eastAsia="方正仿宋_GBK" w:cs="方正仿宋_GBK"/>
          <w:b/>
          <w:bCs/>
          <w:color w:val="auto"/>
          <w:sz w:val="32"/>
          <w:szCs w:val="32"/>
          <w:lang w:val="en-US" w:eastAsia="zh-CN"/>
        </w:rPr>
        <w:t>三</w:t>
      </w:r>
      <w:r>
        <w:rPr>
          <w:rFonts w:hint="eastAsia" w:ascii="方正仿宋_GBK" w:hAnsi="方正仿宋_GBK" w:eastAsia="方正仿宋_GBK" w:cs="方正仿宋_GBK"/>
          <w:b/>
          <w:bCs/>
          <w:color w:val="auto"/>
          <w:sz w:val="32"/>
          <w:szCs w:val="32"/>
          <w:lang w:eastAsia="zh-CN"/>
        </w:rPr>
        <w:t>条</w:t>
      </w:r>
      <w:r>
        <w:rPr>
          <w:rFonts w:hint="eastAsia" w:ascii="方正仿宋_GBK" w:hAnsi="方正仿宋_GBK" w:eastAsia="方正仿宋_GBK" w:cs="方正仿宋_GBK"/>
          <w:b/>
          <w:bCs/>
          <w:color w:val="auto"/>
          <w:sz w:val="32"/>
          <w:szCs w:val="32"/>
          <w:lang w:val="en-US" w:eastAsia="zh-CN"/>
        </w:rPr>
        <w:t xml:space="preserve"> </w:t>
      </w:r>
      <w:r>
        <w:rPr>
          <w:rFonts w:hint="eastAsia" w:ascii="方正仿宋_GBK" w:hAnsi="方正仿宋_GBK" w:eastAsia="方正仿宋_GBK" w:cs="方正仿宋_GBK"/>
          <w:color w:val="auto"/>
          <w:sz w:val="32"/>
          <w:szCs w:val="32"/>
          <w:lang w:eastAsia="zh-CN"/>
        </w:rPr>
        <w:t>学院</w:t>
      </w:r>
      <w:r>
        <w:rPr>
          <w:rFonts w:hint="eastAsia" w:ascii="方正仿宋_GBK" w:hAnsi="方正仿宋_GBK" w:eastAsia="方正仿宋_GBK" w:cs="方正仿宋_GBK"/>
          <w:color w:val="auto"/>
          <w:sz w:val="32"/>
          <w:szCs w:val="32"/>
        </w:rPr>
        <w:t>招生联系方式</w:t>
      </w:r>
    </w:p>
    <w:p w14:paraId="7E7FF740">
      <w:pPr>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560" w:lineRule="exact"/>
        <w:ind w:left="0" w:right="0" w:firstLine="640" w:firstLineChars="200"/>
        <w:jc w:val="both"/>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color w:val="auto"/>
          <w:sz w:val="32"/>
          <w:szCs w:val="32"/>
        </w:rPr>
        <w:t>通信地址</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u w:val="none"/>
          <w:lang w:val="en-US" w:eastAsia="zh-CN"/>
        </w:rPr>
        <w:t>长沙经济技术开发区盼盼路（泉塘）</w:t>
      </w:r>
    </w:p>
    <w:p w14:paraId="20D153B8">
      <w:pPr>
        <w:pStyle w:val="3"/>
        <w:keepNext w:val="0"/>
        <w:keepLines w:val="0"/>
        <w:pageBreakBefore w:val="0"/>
        <w:kinsoku/>
        <w:wordWrap/>
        <w:overflowPunct/>
        <w:topLinePunct w:val="0"/>
        <w:autoSpaceDE/>
        <w:autoSpaceDN/>
        <w:bidi w:val="0"/>
        <w:adjustRightInd/>
        <w:snapToGrid/>
        <w:spacing w:line="560" w:lineRule="exact"/>
        <w:ind w:firstLine="640" w:firstLineChars="200"/>
        <w:jc w:val="both"/>
        <w:outlineLvl w:val="9"/>
        <w:rPr>
          <w:rFonts w:hint="eastAsia" w:ascii="方正仿宋_GBK" w:hAnsi="方正仿宋_GBK" w:eastAsia="方正仿宋_GBK" w:cs="方正仿宋_GBK"/>
          <w:color w:val="auto"/>
          <w:kern w:val="2"/>
          <w:sz w:val="32"/>
          <w:szCs w:val="32"/>
          <w:lang w:val="en-US" w:eastAsia="zh-CN" w:bidi="ar-SA"/>
        </w:rPr>
      </w:pPr>
      <w:r>
        <w:rPr>
          <w:rFonts w:hint="eastAsia" w:ascii="方正仿宋_GBK" w:hAnsi="方正仿宋_GBK" w:eastAsia="方正仿宋_GBK" w:cs="方正仿宋_GBK"/>
          <w:color w:val="auto"/>
          <w:kern w:val="2"/>
          <w:sz w:val="32"/>
          <w:szCs w:val="32"/>
          <w:lang w:val="en-US" w:eastAsia="zh-CN" w:bidi="ar-SA"/>
        </w:rPr>
        <w:t xml:space="preserve">邮政编码：410131 </w:t>
      </w:r>
    </w:p>
    <w:p w14:paraId="7D4247E3">
      <w:pPr>
        <w:pStyle w:val="3"/>
        <w:keepNext w:val="0"/>
        <w:keepLines w:val="0"/>
        <w:pageBreakBefore w:val="0"/>
        <w:kinsoku/>
        <w:wordWrap/>
        <w:overflowPunct/>
        <w:topLinePunct w:val="0"/>
        <w:autoSpaceDE/>
        <w:autoSpaceDN/>
        <w:bidi w:val="0"/>
        <w:adjustRightInd/>
        <w:snapToGrid/>
        <w:spacing w:line="560" w:lineRule="exact"/>
        <w:ind w:firstLine="640" w:firstLineChars="200"/>
        <w:jc w:val="both"/>
        <w:outlineLvl w:val="9"/>
        <w:rPr>
          <w:rFonts w:hint="eastAsia" w:ascii="方正仿宋_GBK" w:hAnsi="方正仿宋_GBK" w:eastAsia="方正仿宋_GBK" w:cs="方正仿宋_GBK"/>
          <w:color w:val="auto"/>
          <w:kern w:val="2"/>
          <w:sz w:val="32"/>
          <w:szCs w:val="32"/>
          <w:lang w:val="en-US" w:eastAsia="zh-CN" w:bidi="ar-SA"/>
        </w:rPr>
      </w:pPr>
      <w:r>
        <w:rPr>
          <w:rFonts w:hint="eastAsia" w:ascii="方正仿宋_GBK" w:hAnsi="方正仿宋_GBK" w:eastAsia="方正仿宋_GBK" w:cs="方正仿宋_GBK"/>
          <w:color w:val="auto"/>
          <w:kern w:val="2"/>
          <w:sz w:val="32"/>
          <w:szCs w:val="32"/>
          <w:lang w:val="en-US" w:eastAsia="zh-CN" w:bidi="ar-SA"/>
        </w:rPr>
        <w:t>招生咨询电话：0731-84074167</w:t>
      </w:r>
    </w:p>
    <w:p w14:paraId="423DABAB">
      <w:pPr>
        <w:pStyle w:val="3"/>
        <w:keepNext w:val="0"/>
        <w:keepLines w:val="0"/>
        <w:pageBreakBefore w:val="0"/>
        <w:kinsoku/>
        <w:wordWrap/>
        <w:overflowPunct/>
        <w:topLinePunct w:val="0"/>
        <w:autoSpaceDE/>
        <w:autoSpaceDN/>
        <w:bidi w:val="0"/>
        <w:adjustRightInd/>
        <w:snapToGrid/>
        <w:spacing w:line="560" w:lineRule="exact"/>
        <w:ind w:firstLine="640" w:firstLineChars="200"/>
        <w:jc w:val="both"/>
        <w:outlineLvl w:val="9"/>
        <w:rPr>
          <w:rFonts w:hint="eastAsia" w:ascii="方正仿宋_GBK" w:hAnsi="方正仿宋_GBK" w:eastAsia="方正仿宋_GBK" w:cs="方正仿宋_GBK"/>
          <w:color w:val="auto"/>
          <w:sz w:val="32"/>
          <w:szCs w:val="32"/>
          <w:u w:val="single"/>
          <w:lang w:val="en-US" w:eastAsia="zh-CN"/>
        </w:rPr>
      </w:pPr>
      <w:r>
        <w:rPr>
          <w:rFonts w:hint="eastAsia" w:ascii="方正仿宋_GBK" w:hAnsi="方正仿宋_GBK" w:eastAsia="方正仿宋_GBK" w:cs="方正仿宋_GBK"/>
          <w:b w:val="0"/>
          <w:bCs w:val="0"/>
          <w:color w:val="auto"/>
          <w:kern w:val="2"/>
          <w:sz w:val="32"/>
          <w:szCs w:val="32"/>
        </w:rPr>
        <w:t>招生咨询邮箱：</w:t>
      </w:r>
      <w:r>
        <w:rPr>
          <w:rFonts w:hint="eastAsia" w:ascii="方正仿宋_GBK" w:hAnsi="方正仿宋_GBK" w:eastAsia="方正仿宋_GBK" w:cs="方正仿宋_GBK"/>
          <w:color w:val="auto"/>
          <w:sz w:val="32"/>
          <w:szCs w:val="32"/>
        </w:rPr>
        <w:t>293430113</w:t>
      </w:r>
      <w:r>
        <w:rPr>
          <w:rFonts w:hint="eastAsia" w:ascii="方正仿宋_GBK" w:hAnsi="方正仿宋_GBK" w:eastAsia="方正仿宋_GBK" w:cs="方正仿宋_GBK"/>
          <w:color w:val="auto"/>
          <w:sz w:val="32"/>
          <w:szCs w:val="32"/>
          <w:lang w:val="en-US" w:eastAsia="zh-CN"/>
        </w:rPr>
        <w:t>@qq.com</w:t>
      </w:r>
    </w:p>
    <w:p w14:paraId="157E8DA3">
      <w:pPr>
        <w:pStyle w:val="3"/>
        <w:keepNext w:val="0"/>
        <w:keepLines w:val="0"/>
        <w:pageBreakBefore w:val="0"/>
        <w:kinsoku/>
        <w:wordWrap/>
        <w:overflowPunct/>
        <w:topLinePunct w:val="0"/>
        <w:autoSpaceDE/>
        <w:autoSpaceDN/>
        <w:bidi w:val="0"/>
        <w:adjustRightInd/>
        <w:snapToGrid/>
        <w:spacing w:line="560" w:lineRule="exact"/>
        <w:ind w:firstLine="640" w:firstLineChars="200"/>
        <w:jc w:val="both"/>
        <w:outlineLvl w:val="9"/>
        <w:rPr>
          <w:rFonts w:hint="eastAsia" w:ascii="方正仿宋_GBK" w:hAnsi="方正仿宋_GBK" w:eastAsia="方正仿宋_GBK" w:cs="方正仿宋_GBK"/>
          <w:color w:val="auto"/>
          <w:kern w:val="2"/>
          <w:sz w:val="32"/>
          <w:szCs w:val="32"/>
          <w:lang w:val="en-US" w:eastAsia="zh-CN" w:bidi="ar-SA"/>
        </w:rPr>
      </w:pPr>
      <w:r>
        <w:rPr>
          <w:rFonts w:hint="eastAsia" w:ascii="方正仿宋_GBK" w:hAnsi="方正仿宋_GBK" w:eastAsia="方正仿宋_GBK" w:cs="方正仿宋_GBK"/>
          <w:b w:val="0"/>
          <w:bCs w:val="0"/>
          <w:color w:val="auto"/>
          <w:kern w:val="2"/>
          <w:sz w:val="32"/>
          <w:szCs w:val="32"/>
          <w:lang w:val="en-US" w:eastAsia="zh-CN"/>
        </w:rPr>
        <w:t>招生</w:t>
      </w:r>
      <w:r>
        <w:rPr>
          <w:rFonts w:hint="eastAsia" w:ascii="方正仿宋_GBK" w:hAnsi="方正仿宋_GBK" w:eastAsia="方正仿宋_GBK" w:cs="方正仿宋_GBK"/>
          <w:b w:val="0"/>
          <w:bCs w:val="0"/>
          <w:color w:val="auto"/>
          <w:kern w:val="2"/>
          <w:sz w:val="32"/>
          <w:szCs w:val="32"/>
        </w:rPr>
        <w:t>信息发布网址</w:t>
      </w:r>
      <w:r>
        <w:rPr>
          <w:rFonts w:hint="eastAsia" w:ascii="方正仿宋_GBK" w:hAnsi="方正仿宋_GBK" w:eastAsia="方正仿宋_GBK" w:cs="方正仿宋_GBK"/>
          <w:b w:val="0"/>
          <w:bCs w:val="0"/>
          <w:color w:val="auto"/>
          <w:kern w:val="2"/>
          <w:sz w:val="32"/>
          <w:szCs w:val="32"/>
          <w:lang w:eastAsia="zh-CN"/>
        </w:rPr>
        <w:t>：</w:t>
      </w:r>
      <w:r>
        <w:rPr>
          <w:rFonts w:hint="eastAsia" w:ascii="方正仿宋_GBK" w:hAnsi="方正仿宋_GBK" w:eastAsia="方正仿宋_GBK" w:cs="方正仿宋_GBK"/>
          <w:color w:val="auto"/>
          <w:kern w:val="2"/>
          <w:sz w:val="32"/>
          <w:szCs w:val="32"/>
          <w:lang w:val="en-US" w:eastAsia="zh-CN" w:bidi="ar-SA"/>
        </w:rPr>
        <w:t>http://zsxx.cseptc.net/</w:t>
      </w:r>
    </w:p>
    <w:p w14:paraId="65A95B2F">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outlineLvl w:val="9"/>
        <w:rPr>
          <w:rFonts w:hint="eastAsia" w:ascii="方正仿宋_GBK" w:hAnsi="方正仿宋_GBK" w:eastAsia="方正仿宋_GBK" w:cs="方正仿宋_GBK"/>
          <w:b w:val="0"/>
          <w:bCs w:val="0"/>
          <w:color w:val="auto"/>
          <w:kern w:val="2"/>
          <w:sz w:val="32"/>
          <w:szCs w:val="32"/>
          <w:lang w:val="en-US" w:eastAsia="zh-CN"/>
        </w:rPr>
      </w:pPr>
      <w:r>
        <w:rPr>
          <w:rFonts w:hint="eastAsia" w:ascii="方正仿宋_GBK" w:hAnsi="方正仿宋_GBK" w:eastAsia="方正仿宋_GBK" w:cs="方正仿宋_GBK"/>
          <w:b w:val="0"/>
          <w:bCs w:val="0"/>
          <w:color w:val="auto"/>
          <w:kern w:val="2"/>
          <w:sz w:val="32"/>
          <w:szCs w:val="32"/>
        </w:rPr>
        <w:t>监督投诉电话</w:t>
      </w:r>
      <w:r>
        <w:rPr>
          <w:rFonts w:hint="eastAsia" w:ascii="方正仿宋_GBK" w:hAnsi="方正仿宋_GBK" w:eastAsia="方正仿宋_GBK" w:cs="方正仿宋_GBK"/>
          <w:b w:val="0"/>
          <w:bCs w:val="0"/>
          <w:color w:val="auto"/>
          <w:kern w:val="2"/>
          <w:sz w:val="32"/>
          <w:szCs w:val="32"/>
          <w:lang w:eastAsia="zh-CN"/>
        </w:rPr>
        <w:t>：</w:t>
      </w:r>
      <w:r>
        <w:rPr>
          <w:rFonts w:hint="eastAsia" w:ascii="方正仿宋_GBK" w:hAnsi="方正仿宋_GBK" w:eastAsia="方正仿宋_GBK" w:cs="方正仿宋_GBK"/>
          <w:b w:val="0"/>
          <w:bCs w:val="0"/>
          <w:color w:val="auto"/>
          <w:kern w:val="2"/>
          <w:sz w:val="32"/>
          <w:szCs w:val="32"/>
        </w:rPr>
        <w:t>0731-840741</w:t>
      </w:r>
      <w:r>
        <w:rPr>
          <w:rFonts w:hint="eastAsia" w:ascii="方正仿宋_GBK" w:hAnsi="方正仿宋_GBK" w:eastAsia="方正仿宋_GBK" w:cs="方正仿宋_GBK"/>
          <w:b w:val="0"/>
          <w:bCs w:val="0"/>
          <w:color w:val="auto"/>
          <w:kern w:val="2"/>
          <w:sz w:val="32"/>
          <w:szCs w:val="32"/>
          <w:lang w:val="en-US" w:eastAsia="zh-CN"/>
        </w:rPr>
        <w:t>53</w:t>
      </w:r>
    </w:p>
    <w:p w14:paraId="6CAB2A38">
      <w:pPr>
        <w:pStyle w:val="10"/>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ind w:firstLine="643" w:firstLineChars="200"/>
        <w:outlineLvl w:val="9"/>
        <w:rPr>
          <w:rFonts w:hint="eastAsia" w:ascii="方正仿宋_GBK" w:hAnsi="方正仿宋_GBK" w:eastAsia="方正仿宋_GBK" w:cs="方正仿宋_GBK"/>
          <w:color w:val="auto"/>
          <w:sz w:val="32"/>
          <w:szCs w:val="32"/>
          <w:lang w:val="en-US" w:eastAsia="zh-CN"/>
        </w:rPr>
      </w:pPr>
      <w:r>
        <w:rPr>
          <w:rFonts w:hint="eastAsia" w:ascii="方正仿宋_GBK" w:hAnsi="方正仿宋_GBK" w:eastAsia="方正仿宋_GBK" w:cs="方正仿宋_GBK"/>
          <w:b/>
          <w:bCs/>
          <w:color w:val="auto"/>
          <w:kern w:val="2"/>
          <w:sz w:val="32"/>
          <w:szCs w:val="32"/>
          <w:lang w:eastAsia="zh-CN"/>
        </w:rPr>
        <w:t>第四十</w:t>
      </w:r>
      <w:r>
        <w:rPr>
          <w:rFonts w:hint="eastAsia" w:ascii="方正仿宋_GBK" w:hAnsi="方正仿宋_GBK" w:eastAsia="方正仿宋_GBK" w:cs="方正仿宋_GBK"/>
          <w:b/>
          <w:bCs/>
          <w:color w:val="auto"/>
          <w:kern w:val="2"/>
          <w:sz w:val="32"/>
          <w:szCs w:val="32"/>
          <w:lang w:val="en-US" w:eastAsia="zh-CN"/>
        </w:rPr>
        <w:t>四</w:t>
      </w:r>
      <w:r>
        <w:rPr>
          <w:rFonts w:hint="eastAsia" w:ascii="方正仿宋_GBK" w:hAnsi="方正仿宋_GBK" w:eastAsia="方正仿宋_GBK" w:cs="方正仿宋_GBK"/>
          <w:b/>
          <w:bCs/>
          <w:color w:val="auto"/>
          <w:kern w:val="2"/>
          <w:sz w:val="32"/>
          <w:szCs w:val="32"/>
          <w:lang w:eastAsia="zh-CN"/>
        </w:rPr>
        <w:t>条</w:t>
      </w:r>
      <w:r>
        <w:rPr>
          <w:rFonts w:hint="eastAsia" w:ascii="方正仿宋_GBK" w:hAnsi="方正仿宋_GBK" w:eastAsia="方正仿宋_GBK" w:cs="方正仿宋_GBK"/>
          <w:b/>
          <w:bCs/>
          <w:color w:val="auto"/>
          <w:kern w:val="2"/>
          <w:sz w:val="32"/>
          <w:szCs w:val="32"/>
          <w:lang w:val="en-US" w:eastAsia="zh-CN"/>
        </w:rPr>
        <w:t xml:space="preserve"> </w:t>
      </w:r>
      <w:r>
        <w:rPr>
          <w:rFonts w:hint="eastAsia" w:ascii="方正仿宋_GBK" w:hAnsi="方正仿宋_GBK" w:eastAsia="方正仿宋_GBK" w:cs="方正仿宋_GBK"/>
          <w:color w:val="auto"/>
          <w:kern w:val="2"/>
          <w:sz w:val="32"/>
          <w:szCs w:val="32"/>
        </w:rPr>
        <w:t>本</w:t>
      </w:r>
      <w:r>
        <w:rPr>
          <w:rFonts w:hint="eastAsia" w:ascii="方正仿宋_GBK" w:hAnsi="方正仿宋_GBK" w:eastAsia="方正仿宋_GBK" w:cs="方正仿宋_GBK"/>
          <w:color w:val="auto"/>
          <w:kern w:val="2"/>
          <w:sz w:val="32"/>
          <w:szCs w:val="32"/>
          <w:lang w:val="en-US" w:eastAsia="zh-CN"/>
        </w:rPr>
        <w:t>章程</w:t>
      </w:r>
      <w:r>
        <w:rPr>
          <w:rFonts w:hint="eastAsia" w:ascii="方正仿宋_GBK" w:hAnsi="方正仿宋_GBK" w:eastAsia="方正仿宋_GBK" w:cs="方正仿宋_GBK"/>
          <w:color w:val="auto"/>
          <w:kern w:val="2"/>
          <w:sz w:val="32"/>
          <w:szCs w:val="32"/>
        </w:rPr>
        <w:t>适用于</w:t>
      </w:r>
      <w:r>
        <w:rPr>
          <w:rFonts w:hint="eastAsia" w:ascii="方正仿宋_GBK" w:hAnsi="方正仿宋_GBK" w:eastAsia="方正仿宋_GBK" w:cs="方正仿宋_GBK"/>
          <w:color w:val="auto"/>
          <w:sz w:val="32"/>
          <w:szCs w:val="32"/>
          <w:lang w:val="en-US" w:eastAsia="zh-CN"/>
        </w:rPr>
        <w:t>学院2025年湖南省单招。其解释权属于长沙电力职业技术学院。如遇教育部、湖南省教育厅相关招生政策调整，以公布的最新政策为准。</w:t>
      </w:r>
      <w:bookmarkEnd w:id="0"/>
    </w:p>
    <w:sectPr>
      <w:headerReference r:id="rId3" w:type="default"/>
      <w:footerReference r:id="rId4"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92"/>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方正小标宋_GBK">
    <w:panose1 w:val="02000000000000000000"/>
    <w:charset w:val="86"/>
    <w:family w:val="auto"/>
    <w:pitch w:val="default"/>
    <w:sig w:usb0="A00002BF" w:usb1="38CF7CFA" w:usb2="00082016" w:usb3="00000000" w:csb0="00040001" w:csb1="00000000"/>
    <w:embedRegular r:id="rId1" w:fontKey="{97F95E97-C7BD-44D7-862F-0E63752DDF5B}"/>
  </w:font>
  <w:font w:name="方正黑体_GBK">
    <w:panose1 w:val="03000509000000000000"/>
    <w:charset w:val="86"/>
    <w:family w:val="auto"/>
    <w:pitch w:val="default"/>
    <w:sig w:usb0="00000001" w:usb1="080E0000" w:usb2="00000000" w:usb3="00000000" w:csb0="00040000" w:csb1="00000000"/>
    <w:embedRegular r:id="rId2" w:fontKey="{E9E648BF-7497-4754-B396-91BB976E155A}"/>
  </w:font>
  <w:font w:name="方正仿宋_GBK">
    <w:panose1 w:val="02000000000000000000"/>
    <w:charset w:val="86"/>
    <w:family w:val="auto"/>
    <w:pitch w:val="default"/>
    <w:sig w:usb0="A00002BF" w:usb1="38CF7CFA" w:usb2="00082016" w:usb3="00000000" w:csb0="00040001" w:csb1="00000000"/>
    <w:embedRegular r:id="rId3" w:fontKey="{FACB1849-F4E8-46C5-B3E2-59654D727D4E}"/>
  </w:font>
  <w:font w:name="等线">
    <w:panose1 w:val="02010600030101010101"/>
    <w:charset w:val="86"/>
    <w:family w:val="auto"/>
    <w:pitch w:val="default"/>
    <w:sig w:usb0="A00002BF" w:usb1="38CF7CFA" w:usb2="00000016" w:usb3="00000000" w:csb0="0004000F" w:csb1="00000000"/>
    <w:embedRegular r:id="rId4" w:fontKey="{3442FDF8-BA30-493A-B8A0-365E7A69B54C}"/>
  </w:font>
  <w:font w:name="仿宋">
    <w:panose1 w:val="02010609060101010101"/>
    <w:charset w:val="86"/>
    <w:family w:val="modern"/>
    <w:pitch w:val="default"/>
    <w:sig w:usb0="800002BF" w:usb1="38CF7CFA" w:usb2="00000016" w:usb3="00000000" w:csb0="00040001" w:csb1="00000000"/>
    <w:embedRegular r:id="rId5" w:fontKey="{0A50A2CB-8B50-405B-A4F1-B29292310A8C}"/>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E7234D">
    <w:pPr>
      <w:pStyle w:val="8"/>
      <w:jc w:val="cente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618D32E3">
                          <w:pPr>
                            <w:pStyle w:val="8"/>
                            <w:jc w:val="center"/>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14:paraId="618D32E3">
                    <w:pPr>
                      <w:pStyle w:val="8"/>
                      <w:jc w:val="center"/>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p>
                </w:txbxContent>
              </v:textbox>
            </v:shape>
          </w:pict>
        </mc:Fallback>
      </mc:AlternateContent>
    </w:r>
  </w:p>
  <w:p w14:paraId="4FC1B2EB">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1D7D32">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jNmI1ZjMyY2JmMWI1NGRjZjgzNmIzZDJjYzNiMjQ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2655F4"/>
    <w:rsid w:val="023F6BF7"/>
    <w:rsid w:val="02A1111E"/>
    <w:rsid w:val="02AA213A"/>
    <w:rsid w:val="038E0721"/>
    <w:rsid w:val="04003C23"/>
    <w:rsid w:val="04294F27"/>
    <w:rsid w:val="047F02E3"/>
    <w:rsid w:val="04C2712A"/>
    <w:rsid w:val="04DF1F2B"/>
    <w:rsid w:val="04ED2D68"/>
    <w:rsid w:val="05254A5F"/>
    <w:rsid w:val="052E47BF"/>
    <w:rsid w:val="059C75DF"/>
    <w:rsid w:val="059D6B84"/>
    <w:rsid w:val="05AC5C0F"/>
    <w:rsid w:val="06A55C71"/>
    <w:rsid w:val="06F53E3D"/>
    <w:rsid w:val="075926EA"/>
    <w:rsid w:val="077566D6"/>
    <w:rsid w:val="07987FF3"/>
    <w:rsid w:val="079D1FBD"/>
    <w:rsid w:val="07D94EB6"/>
    <w:rsid w:val="07DB005B"/>
    <w:rsid w:val="07DC2099"/>
    <w:rsid w:val="07FC04D8"/>
    <w:rsid w:val="07FC1FD8"/>
    <w:rsid w:val="087C7B4E"/>
    <w:rsid w:val="094E3682"/>
    <w:rsid w:val="0A9323FD"/>
    <w:rsid w:val="0AAF0151"/>
    <w:rsid w:val="0ADC163F"/>
    <w:rsid w:val="0B2B471F"/>
    <w:rsid w:val="0B8C708E"/>
    <w:rsid w:val="0BA871E7"/>
    <w:rsid w:val="0BB7681F"/>
    <w:rsid w:val="0C004B2C"/>
    <w:rsid w:val="0C2267DE"/>
    <w:rsid w:val="0CCC323C"/>
    <w:rsid w:val="0D1F695B"/>
    <w:rsid w:val="0D511BCD"/>
    <w:rsid w:val="0D9A2F32"/>
    <w:rsid w:val="0DA675E9"/>
    <w:rsid w:val="0ECC12D1"/>
    <w:rsid w:val="0F026AA1"/>
    <w:rsid w:val="0F0E57E7"/>
    <w:rsid w:val="0F3D0D9C"/>
    <w:rsid w:val="0F713C26"/>
    <w:rsid w:val="0FA364D6"/>
    <w:rsid w:val="0FFA0E2A"/>
    <w:rsid w:val="106D43EE"/>
    <w:rsid w:val="107F26DA"/>
    <w:rsid w:val="10DB6D7F"/>
    <w:rsid w:val="10FA484B"/>
    <w:rsid w:val="11B318DC"/>
    <w:rsid w:val="11B545A0"/>
    <w:rsid w:val="126B2BAF"/>
    <w:rsid w:val="12882281"/>
    <w:rsid w:val="12996038"/>
    <w:rsid w:val="12A06CFD"/>
    <w:rsid w:val="12CD5AA9"/>
    <w:rsid w:val="12FD57C9"/>
    <w:rsid w:val="130628D8"/>
    <w:rsid w:val="13233749"/>
    <w:rsid w:val="13511DA5"/>
    <w:rsid w:val="1381162F"/>
    <w:rsid w:val="13866F53"/>
    <w:rsid w:val="13A50343"/>
    <w:rsid w:val="13CE6FBC"/>
    <w:rsid w:val="13FB7F63"/>
    <w:rsid w:val="14377C0F"/>
    <w:rsid w:val="14575E03"/>
    <w:rsid w:val="14D666DB"/>
    <w:rsid w:val="14EF4045"/>
    <w:rsid w:val="150D43F1"/>
    <w:rsid w:val="15132AEA"/>
    <w:rsid w:val="152F25BA"/>
    <w:rsid w:val="15323EC6"/>
    <w:rsid w:val="15581B10"/>
    <w:rsid w:val="157D50D3"/>
    <w:rsid w:val="16003D72"/>
    <w:rsid w:val="160C46A9"/>
    <w:rsid w:val="1698174E"/>
    <w:rsid w:val="16D263AA"/>
    <w:rsid w:val="17306C2D"/>
    <w:rsid w:val="1817007E"/>
    <w:rsid w:val="18267AB6"/>
    <w:rsid w:val="187C0E65"/>
    <w:rsid w:val="195A17D6"/>
    <w:rsid w:val="19BD57C1"/>
    <w:rsid w:val="19CE57F5"/>
    <w:rsid w:val="19DE5CD3"/>
    <w:rsid w:val="19E41BC5"/>
    <w:rsid w:val="19E92EA6"/>
    <w:rsid w:val="1A004525"/>
    <w:rsid w:val="1A0758B3"/>
    <w:rsid w:val="1A1C3315"/>
    <w:rsid w:val="1A2F0A01"/>
    <w:rsid w:val="1A4D657E"/>
    <w:rsid w:val="1B6C2FEB"/>
    <w:rsid w:val="1B7A3E63"/>
    <w:rsid w:val="1BB11F7A"/>
    <w:rsid w:val="1BF77544"/>
    <w:rsid w:val="1C071B9A"/>
    <w:rsid w:val="1C2E35CB"/>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1B93937"/>
    <w:rsid w:val="22D93B65"/>
    <w:rsid w:val="233660B1"/>
    <w:rsid w:val="23376A8B"/>
    <w:rsid w:val="23416A94"/>
    <w:rsid w:val="234F597E"/>
    <w:rsid w:val="23B95264"/>
    <w:rsid w:val="23BC5A3E"/>
    <w:rsid w:val="23D1216B"/>
    <w:rsid w:val="23F52C20"/>
    <w:rsid w:val="23FC5CD6"/>
    <w:rsid w:val="242A1D2A"/>
    <w:rsid w:val="244823F9"/>
    <w:rsid w:val="24D82326"/>
    <w:rsid w:val="25245D32"/>
    <w:rsid w:val="25787421"/>
    <w:rsid w:val="25ED6EF5"/>
    <w:rsid w:val="261C6242"/>
    <w:rsid w:val="26AB5FE8"/>
    <w:rsid w:val="26D63198"/>
    <w:rsid w:val="26F17200"/>
    <w:rsid w:val="274979CF"/>
    <w:rsid w:val="275210BB"/>
    <w:rsid w:val="27AF13DE"/>
    <w:rsid w:val="27C748D4"/>
    <w:rsid w:val="27CD0D66"/>
    <w:rsid w:val="286D4306"/>
    <w:rsid w:val="28C80903"/>
    <w:rsid w:val="29850CF1"/>
    <w:rsid w:val="29DD040A"/>
    <w:rsid w:val="2A0406E2"/>
    <w:rsid w:val="2A0656A8"/>
    <w:rsid w:val="2A32577F"/>
    <w:rsid w:val="2ABE71EB"/>
    <w:rsid w:val="2AFC12FB"/>
    <w:rsid w:val="2B33475A"/>
    <w:rsid w:val="2B6F32B8"/>
    <w:rsid w:val="2C0833AD"/>
    <w:rsid w:val="2C8478F1"/>
    <w:rsid w:val="2CFB6EDA"/>
    <w:rsid w:val="2D0F6B01"/>
    <w:rsid w:val="2DEB19C0"/>
    <w:rsid w:val="2E6E3CFB"/>
    <w:rsid w:val="2E7A26A0"/>
    <w:rsid w:val="2EFC0DB3"/>
    <w:rsid w:val="2F787FAE"/>
    <w:rsid w:val="2FAD513C"/>
    <w:rsid w:val="2FC11C09"/>
    <w:rsid w:val="2FC9123E"/>
    <w:rsid w:val="3024522F"/>
    <w:rsid w:val="30313D28"/>
    <w:rsid w:val="305D1EAE"/>
    <w:rsid w:val="309914C3"/>
    <w:rsid w:val="313703D4"/>
    <w:rsid w:val="313D086B"/>
    <w:rsid w:val="318F2491"/>
    <w:rsid w:val="31C51E84"/>
    <w:rsid w:val="31C854D0"/>
    <w:rsid w:val="32741731"/>
    <w:rsid w:val="328D1382"/>
    <w:rsid w:val="33122352"/>
    <w:rsid w:val="33557238"/>
    <w:rsid w:val="33597626"/>
    <w:rsid w:val="339E7C5E"/>
    <w:rsid w:val="33BF47D9"/>
    <w:rsid w:val="33ED199E"/>
    <w:rsid w:val="33F34636"/>
    <w:rsid w:val="342B1D46"/>
    <w:rsid w:val="34300C2A"/>
    <w:rsid w:val="344828F8"/>
    <w:rsid w:val="344F51A3"/>
    <w:rsid w:val="346C7B0F"/>
    <w:rsid w:val="34764968"/>
    <w:rsid w:val="358B3826"/>
    <w:rsid w:val="35C91817"/>
    <w:rsid w:val="35EA4102"/>
    <w:rsid w:val="36140CE4"/>
    <w:rsid w:val="362178A5"/>
    <w:rsid w:val="37031F9E"/>
    <w:rsid w:val="375E4153"/>
    <w:rsid w:val="37AC319E"/>
    <w:rsid w:val="37BFA028"/>
    <w:rsid w:val="37C130EE"/>
    <w:rsid w:val="37CD1DE7"/>
    <w:rsid w:val="380A6843"/>
    <w:rsid w:val="38186329"/>
    <w:rsid w:val="38B55CC7"/>
    <w:rsid w:val="38E03E10"/>
    <w:rsid w:val="391060DB"/>
    <w:rsid w:val="3929719C"/>
    <w:rsid w:val="395E52C3"/>
    <w:rsid w:val="39756A74"/>
    <w:rsid w:val="39C20F5B"/>
    <w:rsid w:val="39D07618"/>
    <w:rsid w:val="39DA2245"/>
    <w:rsid w:val="39EE291F"/>
    <w:rsid w:val="3A52002D"/>
    <w:rsid w:val="3A695746"/>
    <w:rsid w:val="3AEA4709"/>
    <w:rsid w:val="3AEB1C60"/>
    <w:rsid w:val="3B0A6B5A"/>
    <w:rsid w:val="3B6A683B"/>
    <w:rsid w:val="3B892174"/>
    <w:rsid w:val="3BBB7E54"/>
    <w:rsid w:val="3CA73615"/>
    <w:rsid w:val="3DBD6105"/>
    <w:rsid w:val="3DD07BE6"/>
    <w:rsid w:val="3DE23DBE"/>
    <w:rsid w:val="3E0633EE"/>
    <w:rsid w:val="3E222F7F"/>
    <w:rsid w:val="3E305F64"/>
    <w:rsid w:val="3E6F38A3"/>
    <w:rsid w:val="3E7F2B45"/>
    <w:rsid w:val="3EAB2402"/>
    <w:rsid w:val="3EC314F9"/>
    <w:rsid w:val="3EEF0AB8"/>
    <w:rsid w:val="3F1A6BAD"/>
    <w:rsid w:val="3F6F1681"/>
    <w:rsid w:val="3FDA284A"/>
    <w:rsid w:val="3FE536F1"/>
    <w:rsid w:val="402952A8"/>
    <w:rsid w:val="404023C4"/>
    <w:rsid w:val="404B48EE"/>
    <w:rsid w:val="40581F6E"/>
    <w:rsid w:val="407A208B"/>
    <w:rsid w:val="40E572B5"/>
    <w:rsid w:val="40E879E7"/>
    <w:rsid w:val="40F3694D"/>
    <w:rsid w:val="41005B39"/>
    <w:rsid w:val="410C1185"/>
    <w:rsid w:val="419D3DBE"/>
    <w:rsid w:val="41AA0C03"/>
    <w:rsid w:val="41C95E4D"/>
    <w:rsid w:val="41E9396D"/>
    <w:rsid w:val="42130AD4"/>
    <w:rsid w:val="427F40C9"/>
    <w:rsid w:val="429960CF"/>
    <w:rsid w:val="42BC4BDD"/>
    <w:rsid w:val="42CA6358"/>
    <w:rsid w:val="42D9011C"/>
    <w:rsid w:val="42F02ADA"/>
    <w:rsid w:val="43233126"/>
    <w:rsid w:val="43277BDB"/>
    <w:rsid w:val="434F5A51"/>
    <w:rsid w:val="436112E1"/>
    <w:rsid w:val="44056110"/>
    <w:rsid w:val="451D704F"/>
    <w:rsid w:val="457E7FAC"/>
    <w:rsid w:val="45B47174"/>
    <w:rsid w:val="45D10756"/>
    <w:rsid w:val="46701BD3"/>
    <w:rsid w:val="46756CDE"/>
    <w:rsid w:val="46A460B4"/>
    <w:rsid w:val="46B04A59"/>
    <w:rsid w:val="46BA646D"/>
    <w:rsid w:val="46FC24A1"/>
    <w:rsid w:val="470D1149"/>
    <w:rsid w:val="4732546E"/>
    <w:rsid w:val="47503B46"/>
    <w:rsid w:val="47DE55F6"/>
    <w:rsid w:val="47EC01A1"/>
    <w:rsid w:val="48356B22"/>
    <w:rsid w:val="485831BD"/>
    <w:rsid w:val="48CB3DCC"/>
    <w:rsid w:val="490E5A67"/>
    <w:rsid w:val="492900B7"/>
    <w:rsid w:val="494C2D19"/>
    <w:rsid w:val="495112C6"/>
    <w:rsid w:val="496112DB"/>
    <w:rsid w:val="496B4C67"/>
    <w:rsid w:val="49B618F4"/>
    <w:rsid w:val="49D56585"/>
    <w:rsid w:val="49EA3855"/>
    <w:rsid w:val="4A2475A4"/>
    <w:rsid w:val="4A873D23"/>
    <w:rsid w:val="4AB663B6"/>
    <w:rsid w:val="4AC35133"/>
    <w:rsid w:val="4AD56ED5"/>
    <w:rsid w:val="4AE01685"/>
    <w:rsid w:val="4B35552D"/>
    <w:rsid w:val="4B5B204B"/>
    <w:rsid w:val="4B77BA42"/>
    <w:rsid w:val="4B837B0C"/>
    <w:rsid w:val="4B850531"/>
    <w:rsid w:val="4B8A3E6C"/>
    <w:rsid w:val="4B904E59"/>
    <w:rsid w:val="4BA32DDE"/>
    <w:rsid w:val="4BB4664D"/>
    <w:rsid w:val="4BB75951"/>
    <w:rsid w:val="4BDE5BC4"/>
    <w:rsid w:val="4C1930A0"/>
    <w:rsid w:val="4C7402D7"/>
    <w:rsid w:val="4C7F0DE7"/>
    <w:rsid w:val="4C9D15DC"/>
    <w:rsid w:val="4D5072E9"/>
    <w:rsid w:val="4D69668F"/>
    <w:rsid w:val="4D9322BB"/>
    <w:rsid w:val="4DCF13B8"/>
    <w:rsid w:val="4DD234BB"/>
    <w:rsid w:val="4DF9660B"/>
    <w:rsid w:val="4E125FF9"/>
    <w:rsid w:val="4E7D6677"/>
    <w:rsid w:val="4E81291C"/>
    <w:rsid w:val="4E9502E8"/>
    <w:rsid w:val="4EAA47E2"/>
    <w:rsid w:val="4F2621FE"/>
    <w:rsid w:val="4F3E33A7"/>
    <w:rsid w:val="4F8C636A"/>
    <w:rsid w:val="4F8D77AB"/>
    <w:rsid w:val="500B0F52"/>
    <w:rsid w:val="5010686C"/>
    <w:rsid w:val="5012408F"/>
    <w:rsid w:val="507A753A"/>
    <w:rsid w:val="50C41F9B"/>
    <w:rsid w:val="514279CB"/>
    <w:rsid w:val="51992547"/>
    <w:rsid w:val="51996F17"/>
    <w:rsid w:val="523C74A6"/>
    <w:rsid w:val="52BB345C"/>
    <w:rsid w:val="530F0D59"/>
    <w:rsid w:val="53756CDB"/>
    <w:rsid w:val="540567C7"/>
    <w:rsid w:val="54247E6C"/>
    <w:rsid w:val="54380789"/>
    <w:rsid w:val="544F44F7"/>
    <w:rsid w:val="5472094E"/>
    <w:rsid w:val="549428D9"/>
    <w:rsid w:val="54D1276A"/>
    <w:rsid w:val="54F76490"/>
    <w:rsid w:val="55144405"/>
    <w:rsid w:val="55312A98"/>
    <w:rsid w:val="55474042"/>
    <w:rsid w:val="554967A4"/>
    <w:rsid w:val="556E215B"/>
    <w:rsid w:val="56162CC9"/>
    <w:rsid w:val="563211C9"/>
    <w:rsid w:val="564C5E20"/>
    <w:rsid w:val="56DC53F6"/>
    <w:rsid w:val="56EE49BD"/>
    <w:rsid w:val="571A66C4"/>
    <w:rsid w:val="57607090"/>
    <w:rsid w:val="57DC0D06"/>
    <w:rsid w:val="581A7F84"/>
    <w:rsid w:val="58220680"/>
    <w:rsid w:val="5846521D"/>
    <w:rsid w:val="58481E52"/>
    <w:rsid w:val="58A35269"/>
    <w:rsid w:val="58C8276C"/>
    <w:rsid w:val="58DF57F5"/>
    <w:rsid w:val="59026B64"/>
    <w:rsid w:val="59323EA7"/>
    <w:rsid w:val="5949535F"/>
    <w:rsid w:val="59795E06"/>
    <w:rsid w:val="597F35F6"/>
    <w:rsid w:val="599651FE"/>
    <w:rsid w:val="59B2243E"/>
    <w:rsid w:val="5A1117CC"/>
    <w:rsid w:val="5A6776CD"/>
    <w:rsid w:val="5ABE313D"/>
    <w:rsid w:val="5B127639"/>
    <w:rsid w:val="5B8FCF33"/>
    <w:rsid w:val="5BA503A9"/>
    <w:rsid w:val="5BD161ED"/>
    <w:rsid w:val="5C1E5AD3"/>
    <w:rsid w:val="5CE82B4D"/>
    <w:rsid w:val="5CFF3BED"/>
    <w:rsid w:val="5D0B35B7"/>
    <w:rsid w:val="5D101D9E"/>
    <w:rsid w:val="5D4C7FE2"/>
    <w:rsid w:val="5DA46FBF"/>
    <w:rsid w:val="5DB42C29"/>
    <w:rsid w:val="5E1E79DD"/>
    <w:rsid w:val="5E547F68"/>
    <w:rsid w:val="5F076D88"/>
    <w:rsid w:val="5F804F7C"/>
    <w:rsid w:val="5F84507B"/>
    <w:rsid w:val="5FA66C4C"/>
    <w:rsid w:val="5FBF32AD"/>
    <w:rsid w:val="5FEB7598"/>
    <w:rsid w:val="600C1085"/>
    <w:rsid w:val="604E4E9A"/>
    <w:rsid w:val="605F4325"/>
    <w:rsid w:val="60964868"/>
    <w:rsid w:val="60F4742F"/>
    <w:rsid w:val="6126799A"/>
    <w:rsid w:val="61911C73"/>
    <w:rsid w:val="61A35225"/>
    <w:rsid w:val="61B228BF"/>
    <w:rsid w:val="626055AF"/>
    <w:rsid w:val="62804CAC"/>
    <w:rsid w:val="629C67BC"/>
    <w:rsid w:val="62E670F3"/>
    <w:rsid w:val="630C6032"/>
    <w:rsid w:val="6361115D"/>
    <w:rsid w:val="63C35974"/>
    <w:rsid w:val="64803B8D"/>
    <w:rsid w:val="64A21A2D"/>
    <w:rsid w:val="656B46CF"/>
    <w:rsid w:val="658B24C1"/>
    <w:rsid w:val="66387CAD"/>
    <w:rsid w:val="664D7F9B"/>
    <w:rsid w:val="668E2B5F"/>
    <w:rsid w:val="66A3028A"/>
    <w:rsid w:val="66A650D9"/>
    <w:rsid w:val="671B1581"/>
    <w:rsid w:val="672A3F5C"/>
    <w:rsid w:val="67B101D9"/>
    <w:rsid w:val="67DF478F"/>
    <w:rsid w:val="67E11BC9"/>
    <w:rsid w:val="67ED7463"/>
    <w:rsid w:val="6860371C"/>
    <w:rsid w:val="689A10FC"/>
    <w:rsid w:val="68AE03DB"/>
    <w:rsid w:val="690600B1"/>
    <w:rsid w:val="6950078F"/>
    <w:rsid w:val="69B61AD7"/>
    <w:rsid w:val="6A0B1B52"/>
    <w:rsid w:val="6A23019D"/>
    <w:rsid w:val="6B7F1679"/>
    <w:rsid w:val="6B863A1B"/>
    <w:rsid w:val="6B865BA9"/>
    <w:rsid w:val="6B9615A3"/>
    <w:rsid w:val="6BAC3191"/>
    <w:rsid w:val="6BC648A8"/>
    <w:rsid w:val="6CF967E4"/>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446A5C"/>
    <w:rsid w:val="6F71DAA7"/>
    <w:rsid w:val="6F9314E5"/>
    <w:rsid w:val="6F9927A9"/>
    <w:rsid w:val="6FD63E81"/>
    <w:rsid w:val="6FEB37AA"/>
    <w:rsid w:val="6FFF35DB"/>
    <w:rsid w:val="702A0B29"/>
    <w:rsid w:val="703903A6"/>
    <w:rsid w:val="706D4D57"/>
    <w:rsid w:val="70981B5C"/>
    <w:rsid w:val="70C11AA8"/>
    <w:rsid w:val="70C66AA3"/>
    <w:rsid w:val="71454595"/>
    <w:rsid w:val="71EF446E"/>
    <w:rsid w:val="71F1013E"/>
    <w:rsid w:val="72090E0B"/>
    <w:rsid w:val="723E08BB"/>
    <w:rsid w:val="72A471DF"/>
    <w:rsid w:val="72F07C93"/>
    <w:rsid w:val="731D7F10"/>
    <w:rsid w:val="73522870"/>
    <w:rsid w:val="737F09F7"/>
    <w:rsid w:val="73BC1D93"/>
    <w:rsid w:val="740718AD"/>
    <w:rsid w:val="740C0C71"/>
    <w:rsid w:val="74624D35"/>
    <w:rsid w:val="74956EB9"/>
    <w:rsid w:val="74D001FC"/>
    <w:rsid w:val="74E67981"/>
    <w:rsid w:val="756A1E27"/>
    <w:rsid w:val="75DB056E"/>
    <w:rsid w:val="75FB64DD"/>
    <w:rsid w:val="76300070"/>
    <w:rsid w:val="768B56A2"/>
    <w:rsid w:val="770025E3"/>
    <w:rsid w:val="77271704"/>
    <w:rsid w:val="777BE1E5"/>
    <w:rsid w:val="777F4E56"/>
    <w:rsid w:val="777FFB5A"/>
    <w:rsid w:val="779E0807"/>
    <w:rsid w:val="77C01083"/>
    <w:rsid w:val="77F9BDFE"/>
    <w:rsid w:val="780659D7"/>
    <w:rsid w:val="789A7408"/>
    <w:rsid w:val="78C0202A"/>
    <w:rsid w:val="78DD4B16"/>
    <w:rsid w:val="79194C3C"/>
    <w:rsid w:val="794111F1"/>
    <w:rsid w:val="795D6D6C"/>
    <w:rsid w:val="79B6B7CA"/>
    <w:rsid w:val="79DC614A"/>
    <w:rsid w:val="79FF8825"/>
    <w:rsid w:val="7A2B5BC9"/>
    <w:rsid w:val="7A7AC12C"/>
    <w:rsid w:val="7AC47217"/>
    <w:rsid w:val="7AC840FD"/>
    <w:rsid w:val="7AD2618C"/>
    <w:rsid w:val="7AE149BD"/>
    <w:rsid w:val="7AE262DC"/>
    <w:rsid w:val="7B647A4D"/>
    <w:rsid w:val="7BB51BEE"/>
    <w:rsid w:val="7BDFE1A2"/>
    <w:rsid w:val="7C2B0102"/>
    <w:rsid w:val="7C7E1CA6"/>
    <w:rsid w:val="7CFE890A"/>
    <w:rsid w:val="7D5947FB"/>
    <w:rsid w:val="7D7FC70A"/>
    <w:rsid w:val="7D935155"/>
    <w:rsid w:val="7D9854CF"/>
    <w:rsid w:val="7DC97BD3"/>
    <w:rsid w:val="7DF84014"/>
    <w:rsid w:val="7E5751DF"/>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4">
    <w:name w:val="Default Paragraph Font"/>
    <w:unhideWhenUsed/>
    <w:qFormat/>
    <w:uiPriority w:val="1"/>
  </w:style>
  <w:style w:type="table" w:default="1" w:styleId="12">
    <w:name w:val="Normal Table"/>
    <w:unhideWhenUsed/>
    <w:qFormat/>
    <w:uiPriority w:val="99"/>
    <w:tblPr>
      <w:tblStyle w:val="12"/>
      <w:tblCellMar>
        <w:top w:w="0" w:type="dxa"/>
        <w:left w:w="108" w:type="dxa"/>
        <w:bottom w:w="0" w:type="dxa"/>
        <w:right w:w="108" w:type="dxa"/>
      </w:tblCellMar>
    </w:tblPr>
  </w:style>
  <w:style w:type="paragraph" w:customStyle="1" w:styleId="2">
    <w:name w:val="p0"/>
    <w:basedOn w:val="1"/>
    <w:qFormat/>
    <w:uiPriority w:val="0"/>
    <w:pPr>
      <w:widowControl/>
      <w:jc w:val="center"/>
    </w:pPr>
    <w:rPr>
      <w:rFonts w:ascii="Times New Roman" w:hAnsi="Times New Roman" w:eastAsia="宋体"/>
      <w:kern w:val="0"/>
    </w:rPr>
  </w:style>
  <w:style w:type="paragraph" w:styleId="3">
    <w:name w:val="Normal Indent"/>
    <w:basedOn w:val="1"/>
    <w:qFormat/>
    <w:uiPriority w:val="0"/>
    <w:pPr>
      <w:ind w:firstLine="680"/>
    </w:pPr>
    <w:rPr>
      <w:rFonts w:ascii="Calibri" w:hAnsi="Calibri" w:eastAsia="宋体" w:cs="Times New Roman"/>
    </w:rPr>
  </w:style>
  <w:style w:type="paragraph" w:styleId="4">
    <w:name w:val="annotation text"/>
    <w:basedOn w:val="1"/>
    <w:link w:val="19"/>
    <w:qFormat/>
    <w:uiPriority w:val="0"/>
    <w:pPr>
      <w:jc w:val="left"/>
    </w:pPr>
    <w:rPr>
      <w:rFonts w:ascii="Calibri" w:hAnsi="Calibri"/>
      <w:lang w:val="zh-CN"/>
    </w:rPr>
  </w:style>
  <w:style w:type="paragraph" w:styleId="5">
    <w:name w:val="Body Text"/>
    <w:basedOn w:val="1"/>
    <w:qFormat/>
    <w:uiPriority w:val="1"/>
    <w:pPr>
      <w:spacing w:before="5"/>
      <w:ind w:left="138"/>
    </w:pPr>
    <w:rPr>
      <w:rFonts w:ascii="宋体" w:hAnsi="宋体" w:cs="宋体"/>
      <w:sz w:val="32"/>
      <w:szCs w:val="32"/>
      <w:lang w:val="zh-CN" w:bidi="zh-CN"/>
    </w:rPr>
  </w:style>
  <w:style w:type="paragraph" w:styleId="6">
    <w:name w:val="Body Text Indent"/>
    <w:basedOn w:val="1"/>
    <w:link w:val="20"/>
    <w:qFormat/>
    <w:uiPriority w:val="0"/>
    <w:pPr>
      <w:tabs>
        <w:tab w:val="left" w:pos="360"/>
      </w:tabs>
      <w:ind w:left="180" w:firstLine="600"/>
    </w:pPr>
    <w:rPr>
      <w:rFonts w:ascii="宋体" w:hAnsi="宋体"/>
      <w:sz w:val="30"/>
      <w:szCs w:val="30"/>
      <w:lang w:val="zh-CN"/>
    </w:rPr>
  </w:style>
  <w:style w:type="paragraph" w:styleId="7">
    <w:name w:val="Balloon Text"/>
    <w:basedOn w:val="1"/>
    <w:link w:val="21"/>
    <w:qFormat/>
    <w:uiPriority w:val="0"/>
    <w:rPr>
      <w:sz w:val="18"/>
      <w:szCs w:val="18"/>
      <w:lang w:val="zh-CN"/>
    </w:rPr>
  </w:style>
  <w:style w:type="paragraph" w:styleId="8">
    <w:name w:val="footer"/>
    <w:basedOn w:val="1"/>
    <w:link w:val="22"/>
    <w:qFormat/>
    <w:uiPriority w:val="99"/>
    <w:pPr>
      <w:tabs>
        <w:tab w:val="center" w:pos="4153"/>
        <w:tab w:val="right" w:pos="8306"/>
      </w:tabs>
      <w:snapToGrid w:val="0"/>
      <w:jc w:val="left"/>
    </w:pPr>
    <w:rPr>
      <w:sz w:val="18"/>
      <w:szCs w:val="18"/>
      <w:lang w:val="zh-CN"/>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1">
    <w:name w:val="annotation subject"/>
    <w:basedOn w:val="4"/>
    <w:next w:val="4"/>
    <w:link w:val="23"/>
    <w:qFormat/>
    <w:uiPriority w:val="0"/>
    <w:rPr>
      <w:b/>
      <w:bCs/>
    </w:rPr>
  </w:style>
  <w:style w:type="table" w:styleId="13">
    <w:name w:val="Table Grid"/>
    <w:basedOn w:val="12"/>
    <w:qFormat/>
    <w:uiPriority w:val="0"/>
    <w:pPr>
      <w:widowControl w:val="0"/>
      <w:jc w:val="both"/>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0"/>
    <w:rPr>
      <w:b/>
    </w:rPr>
  </w:style>
  <w:style w:type="character" w:styleId="16">
    <w:name w:val="FollowedHyperlink"/>
    <w:basedOn w:val="14"/>
    <w:qFormat/>
    <w:uiPriority w:val="0"/>
    <w:rPr>
      <w:rFonts w:ascii="Helvetica" w:hAnsi="Helvetica" w:eastAsia="Helvetica" w:cs="Helvetica"/>
      <w:color w:val="AABBCC"/>
      <w:sz w:val="46"/>
      <w:szCs w:val="46"/>
      <w:u w:val="none"/>
    </w:rPr>
  </w:style>
  <w:style w:type="character" w:styleId="17">
    <w:name w:val="Hyperlink"/>
    <w:basedOn w:val="14"/>
    <w:qFormat/>
    <w:uiPriority w:val="0"/>
    <w:rPr>
      <w:color w:val="0000FF"/>
      <w:u w:val="single"/>
    </w:rPr>
  </w:style>
  <w:style w:type="character" w:styleId="18">
    <w:name w:val="annotation reference"/>
    <w:qFormat/>
    <w:uiPriority w:val="0"/>
    <w:rPr>
      <w:sz w:val="21"/>
      <w:szCs w:val="21"/>
    </w:rPr>
  </w:style>
  <w:style w:type="character" w:customStyle="1" w:styleId="19">
    <w:name w:val="批注文字 Char"/>
    <w:link w:val="4"/>
    <w:qFormat/>
    <w:uiPriority w:val="0"/>
    <w:rPr>
      <w:rFonts w:ascii="Calibri" w:hAnsi="Calibri"/>
      <w:kern w:val="2"/>
      <w:sz w:val="21"/>
      <w:szCs w:val="24"/>
    </w:rPr>
  </w:style>
  <w:style w:type="character" w:customStyle="1" w:styleId="20">
    <w:name w:val="正文文本缩进 Char"/>
    <w:link w:val="6"/>
    <w:qFormat/>
    <w:uiPriority w:val="0"/>
    <w:rPr>
      <w:rFonts w:ascii="宋体" w:hAnsi="宋体"/>
      <w:kern w:val="2"/>
      <w:sz w:val="30"/>
      <w:szCs w:val="30"/>
    </w:rPr>
  </w:style>
  <w:style w:type="character" w:customStyle="1" w:styleId="21">
    <w:name w:val="批注框文本 Char"/>
    <w:link w:val="7"/>
    <w:qFormat/>
    <w:uiPriority w:val="0"/>
    <w:rPr>
      <w:kern w:val="2"/>
      <w:sz w:val="18"/>
      <w:szCs w:val="18"/>
    </w:rPr>
  </w:style>
  <w:style w:type="character" w:customStyle="1" w:styleId="22">
    <w:name w:val="页脚 Char"/>
    <w:link w:val="8"/>
    <w:qFormat/>
    <w:uiPriority w:val="99"/>
    <w:rPr>
      <w:kern w:val="2"/>
      <w:sz w:val="18"/>
      <w:szCs w:val="18"/>
    </w:rPr>
  </w:style>
  <w:style w:type="character" w:customStyle="1" w:styleId="23">
    <w:name w:val="批注主题 Char"/>
    <w:link w:val="11"/>
    <w:qFormat/>
    <w:uiPriority w:val="0"/>
    <w:rPr>
      <w:rFonts w:ascii="Calibri" w:hAnsi="Calibri"/>
      <w:b/>
      <w:bCs/>
      <w:kern w:val="2"/>
      <w:sz w:val="21"/>
      <w:szCs w:val="24"/>
    </w:rPr>
  </w:style>
  <w:style w:type="paragraph" w:customStyle="1" w:styleId="24">
    <w:name w:val="Char Char Char Char"/>
    <w:basedOn w:val="1"/>
    <w:qFormat/>
    <w:uiPriority w:val="0"/>
    <w:pPr>
      <w:widowControl/>
      <w:spacing w:after="160" w:line="240" w:lineRule="exact"/>
      <w:jc w:val="left"/>
    </w:pPr>
  </w:style>
  <w:style w:type="paragraph" w:styleId="25">
    <w:name w:val="List Paragraph"/>
    <w:basedOn w:val="1"/>
    <w:qFormat/>
    <w:uiPriority w:val="99"/>
    <w:pPr>
      <w:ind w:left="138" w:right="436" w:firstLine="638"/>
    </w:pPr>
    <w:rPr>
      <w:rFonts w:ascii="宋体" w:hAnsi="宋体" w:cs="宋体"/>
      <w:lang w:val="zh-CN" w:bidi="zh-CN"/>
    </w:rPr>
  </w:style>
  <w:style w:type="paragraph" w:customStyle="1" w:styleId="26">
    <w:name w:val="修订1"/>
    <w:unhideWhenUsed/>
    <w:qFormat/>
    <w:uiPriority w:val="99"/>
    <w:rPr>
      <w:rFonts w:ascii="Times New Roman" w:hAnsi="Times New Roman" w:eastAsia="宋体" w:cs="Times New Roman"/>
      <w:kern w:val="2"/>
      <w:sz w:val="21"/>
      <w:szCs w:val="24"/>
      <w:lang w:val="en-US" w:eastAsia="zh-CN" w:bidi="ar-SA"/>
    </w:rPr>
  </w:style>
  <w:style w:type="character" w:customStyle="1" w:styleId="27">
    <w:name w:val="on"/>
    <w:basedOn w:val="14"/>
    <w:qFormat/>
    <w:uiPriority w:val="0"/>
    <w:rPr>
      <w:color w:val="FFFFFF"/>
      <w:shd w:val="clear" w:color="auto" w:fill="333333"/>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5750</Words>
  <Characters>6142</Characters>
  <Lines>5</Lines>
  <Paragraphs>16</Paragraphs>
  <TotalTime>19</TotalTime>
  <ScaleCrop>false</ScaleCrop>
  <LinksUpToDate>false</LinksUpToDate>
  <CharactersWithSpaces>6202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杨剑</cp:lastModifiedBy>
  <cp:lastPrinted>2025-01-06T07:28:33Z</cp:lastPrinted>
  <dcterms:modified xsi:type="dcterms:W3CDTF">2025-01-25T03:29:41Z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B6687F624A354A659EE8F95F476A68D8_13</vt:lpwstr>
  </property>
  <property fmtid="{D5CDD505-2E9C-101B-9397-08002B2CF9AE}" pid="4" name="KSOTemplateDocerSaveRecord">
    <vt:lpwstr>eyJoZGlkIjoiMmNjNmI1ZjMyY2JmMWI1NGRjZjgzNmIzZDJjYzNiMjQiLCJ1c2VySWQiOiIyNzI1MzQwMDEifQ==</vt:lpwstr>
  </property>
</Properties>
</file>