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317E" w:rsidTr="0023317E">
        <w:tc>
          <w:tcPr>
            <w:tcW w:w="8296" w:type="dxa"/>
          </w:tcPr>
          <w:p w:rsidR="0023317E" w:rsidRDefault="00E27F32">
            <w:r>
              <w:rPr>
                <w:noProof/>
              </w:rPr>
              <w:drawing>
                <wp:inline distT="0" distB="0" distL="0" distR="0" wp14:anchorId="428FF20C" wp14:editId="389DF593">
                  <wp:extent cx="5274310" cy="132016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DF7245" w:rsidP="00DF7245">
            <w:pPr>
              <w:jc w:val="left"/>
            </w:pPr>
            <w:r>
              <w:t xml:space="preserve">Field point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 w:rsidRPr="00DF7245">
              <w:t>MyVec2 fieldPt = N[0]*(m_elem_vertex[0]-&gt;getPos()) + N[1]*(m_elem_vertex[1]-&gt;getPos());</w:t>
            </w:r>
          </w:p>
          <w:p w:rsidR="00DF7245" w:rsidRDefault="00DF7245" w:rsidP="00DF7245">
            <w:pPr>
              <w:jc w:val="left"/>
            </w:pPr>
            <w:r>
              <w:t>高斯点的全局坐标</w:t>
            </w:r>
          </w:p>
        </w:tc>
      </w:tr>
      <w:tr w:rsidR="0023317E" w:rsidTr="0023317E">
        <w:tc>
          <w:tcPr>
            <w:tcW w:w="8296" w:type="dxa"/>
          </w:tcPr>
          <w:p w:rsidR="0023317E" w:rsidRDefault="00DF7245">
            <w:r>
              <w:rPr>
                <w:rFonts w:hint="eastAsia"/>
              </w:rPr>
              <w:t>Source</w:t>
            </w:r>
            <w:r>
              <w:t xml:space="preserve"> point = Collect point = mesh vertex</w:t>
            </w:r>
          </w:p>
          <w:p w:rsidR="00CB0346" w:rsidRDefault="00CB0346"/>
          <w:p w:rsidR="00CB0346" w:rsidRDefault="00CB0346">
            <w:r>
              <w:t>奇异点是在极限过程中固定不变的点</w:t>
            </w:r>
            <w:r>
              <w:rPr>
                <w:rFonts w:hint="eastAsia"/>
              </w:rPr>
              <w:t>，</w:t>
            </w:r>
            <w:r>
              <w:t>也是从奇异点处</w:t>
            </w:r>
            <w:r>
              <w:rPr>
                <w:rFonts w:hint="eastAsia"/>
              </w:rPr>
              <w:t>“抠出”一个邻域</w:t>
            </w:r>
          </w:p>
          <w:p w:rsidR="00296B7A" w:rsidRDefault="00296B7A"/>
          <w:p w:rsidR="00296B7A" w:rsidRPr="00296B7A" w:rsidRDefault="00296B7A">
            <w:pPr>
              <w:rPr>
                <w:b/>
              </w:rPr>
            </w:pPr>
            <w:r w:rsidRPr="00296B7A">
              <w:rPr>
                <w:b/>
              </w:rPr>
              <w:t>源点是固定的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b/>
              </w:rPr>
              <w:t>y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rFonts w:hint="eastAsia"/>
                <w:b/>
              </w:rPr>
              <w:t xml:space="preserve"> </w:t>
            </w:r>
            <w:r w:rsidRPr="00296B7A">
              <w:rPr>
                <w:rFonts w:hint="eastAsia"/>
                <w:b/>
              </w:rPr>
              <w:t>场点是极限变量</w:t>
            </w:r>
            <w:r w:rsidRPr="00296B7A">
              <w:rPr>
                <w:rFonts w:hint="eastAsia"/>
                <w:b/>
              </w:rPr>
              <w:t xml:space="preserve"> x</w:t>
            </w:r>
          </w:p>
        </w:tc>
      </w:tr>
      <w:tr w:rsidR="0023317E" w:rsidTr="0023317E">
        <w:tc>
          <w:tcPr>
            <w:tcW w:w="8296" w:type="dxa"/>
          </w:tcPr>
          <w:p w:rsidR="0023317E" w:rsidRPr="00DF7245" w:rsidRDefault="00EB4A0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3052445</wp:posOffset>
                      </wp:positionH>
                      <wp:positionV relativeFrom="paragraph">
                        <wp:posOffset>500380</wp:posOffset>
                      </wp:positionV>
                      <wp:extent cx="149225" cy="114300"/>
                      <wp:effectExtent l="0" t="0" r="22225" b="19050"/>
                      <wp:wrapNone/>
                      <wp:docPr id="3" name="椭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225" cy="1143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CDE5D91" id="椭圆 3" o:spid="_x0000_s1026" style="position:absolute;left:0;text-align:left;margin-left:240.35pt;margin-top:39.4pt;width:11.7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F7245" w:rsidRPr="00DF7245">
              <w:t xml:space="preserve">the source point </w:t>
            </w:r>
            <w:r w:rsidR="00DF7245" w:rsidRPr="00EB4A02">
              <w:rPr>
                <w:b/>
              </w:rPr>
              <w:t>y</w:t>
            </w:r>
            <w:r w:rsidR="00DF7245" w:rsidRPr="00DF7245">
              <w:t xml:space="preserve"> and integration point </w:t>
            </w:r>
            <w:r w:rsidR="00DF7245" w:rsidRPr="00EB4A02">
              <w:rPr>
                <w:b/>
              </w:rPr>
              <w:t>x</w:t>
            </w:r>
            <w:r>
              <w:rPr>
                <w:b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AF6A6A7" wp14:editId="44AF6A87">
                  <wp:extent cx="822418" cy="9086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82" cy="93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966606">
            <w:r>
              <w:rPr>
                <w:noProof/>
              </w:rPr>
              <w:drawing>
                <wp:inline distT="0" distB="0" distL="0" distR="0" wp14:anchorId="61E5419B" wp14:editId="2B3A40CC">
                  <wp:extent cx="4086225" cy="3429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视为计算公式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>
            <w:r w:rsidRPr="00D31A54">
              <w:t xml:space="preserve">The main point in the former section was to show that ultimately we have to deal only with </w:t>
            </w:r>
            <w:r w:rsidRPr="00D31A54">
              <w:rPr>
                <w:color w:val="FF0000"/>
              </w:rPr>
              <w:t>bounded quantities</w:t>
            </w:r>
            <w:r w:rsidRPr="00D31A54"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 w:rsidP="00D31A5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A40B26" wp14:editId="5AE0046F">
                  <wp:extent cx="4937760" cy="16437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311" cy="164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A54" w:rsidRDefault="00D31A54" w:rsidP="00D31A54">
            <w:pPr>
              <w:jc w:val="left"/>
            </w:pPr>
            <w:r>
              <w:rPr>
                <w:rFonts w:hint="eastAsia"/>
              </w:rPr>
              <w:t>Holder</w:t>
            </w:r>
            <w:r>
              <w:t xml:space="preserve"> continuity</w:t>
            </w:r>
            <w:r>
              <w:t>是泰勒展开的前提</w:t>
            </w:r>
          </w:p>
        </w:tc>
      </w:tr>
      <w:tr w:rsidR="0023317E" w:rsidTr="0023317E">
        <w:tc>
          <w:tcPr>
            <w:tcW w:w="8296" w:type="dxa"/>
          </w:tcPr>
          <w:p w:rsidR="0023317E" w:rsidRDefault="00160FE5">
            <w:r>
              <w:t>球形区域是必须的</w:t>
            </w:r>
            <w:r>
              <w:rPr>
                <w:rFonts w:hint="eastAsia"/>
              </w:rPr>
              <w:t>，</w:t>
            </w:r>
            <w:r>
              <w:t>只有对称区域</w:t>
            </w:r>
            <w:r>
              <w:rPr>
                <w:rFonts w:hint="eastAsia"/>
              </w:rPr>
              <w:t>，</w:t>
            </w:r>
            <w:r>
              <w:t>eq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才能够在极限的情况下为</w:t>
            </w:r>
            <w:r>
              <w:rPr>
                <w:rFonts w:hint="eastAsia"/>
              </w:rPr>
              <w:t>0</w:t>
            </w:r>
          </w:p>
          <w:p w:rsidR="00160FE5" w:rsidRDefault="00160FE5">
            <w:r>
              <w:rPr>
                <w:noProof/>
              </w:rPr>
              <w:drawing>
                <wp:inline distT="0" distB="0" distL="0" distR="0" wp14:anchorId="16D8461A" wp14:editId="578BBCEB">
                  <wp:extent cx="4347210" cy="42079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1" cy="42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0301DD" w:rsidP="000301D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8C97CE7" wp14:editId="26CB096F">
                  <wp:extent cx="4543425" cy="332105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0301DD"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5437A71A" wp14:editId="67448B7C">
                  <wp:extent cx="5274310" cy="7137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3C5A76" w:rsidRDefault="003C5A76">
            <w:r>
              <w:rPr>
                <w:noProof/>
              </w:rPr>
              <w:drawing>
                <wp:inline distT="0" distB="0" distL="0" distR="0" wp14:anchorId="0C71F1A3" wp14:editId="0338B380">
                  <wp:extent cx="1866900" cy="2762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15A840" wp14:editId="3DF13009">
                  <wp:extent cx="4257675" cy="2857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>
            <w:r>
              <w:rPr>
                <w:noProof/>
              </w:rPr>
              <w:drawing>
                <wp:inline distT="0" distB="0" distL="0" distR="0" wp14:anchorId="7621AA2B" wp14:editId="4526B512">
                  <wp:extent cx="4038600" cy="361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9B4EE6" wp14:editId="7E45F0A5">
                  <wp:extent cx="2857500" cy="2190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/>
        </w:tc>
      </w:tr>
      <w:tr w:rsidR="0023317E" w:rsidTr="0023317E">
        <w:tc>
          <w:tcPr>
            <w:tcW w:w="8296" w:type="dxa"/>
          </w:tcPr>
          <w:p w:rsidR="00F9603D" w:rsidRDefault="00F96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D7953" wp14:editId="00F05D82">
                  <wp:extent cx="5274310" cy="67056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317E" w:rsidRDefault="00F9603D">
            <w:r>
              <w:rPr>
                <w:noProof/>
              </w:rPr>
              <w:drawing>
                <wp:inline distT="0" distB="0" distL="0" distR="0" wp14:anchorId="7EC0D8D9" wp14:editId="474BF1B8">
                  <wp:extent cx="4257675" cy="3048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F9603D">
            <w:r>
              <w:rPr>
                <w:noProof/>
              </w:rPr>
              <w:drawing>
                <wp:inline distT="0" distB="0" distL="0" distR="0" wp14:anchorId="3F180EE0" wp14:editId="3160E20F">
                  <wp:extent cx="5274310" cy="244983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6C282D">
            <w:r>
              <w:rPr>
                <w:noProof/>
              </w:rPr>
              <w:drawing>
                <wp:inline distT="0" distB="0" distL="0" distR="0" wp14:anchorId="1BBEB160" wp14:editId="7F92F926">
                  <wp:extent cx="5274310" cy="1044575"/>
                  <wp:effectExtent l="0" t="0" r="254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82D" w:rsidRDefault="006C282D">
            <w:r>
              <w:rPr>
                <w:noProof/>
              </w:rPr>
              <w:drawing>
                <wp:inline distT="0" distB="0" distL="0" distR="0" wp14:anchorId="11E99B42" wp14:editId="4B99C45D">
                  <wp:extent cx="5274310" cy="10566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6C282D">
            <w:r>
              <w:rPr>
                <w:noProof/>
              </w:rPr>
              <w:lastRenderedPageBreak/>
              <w:drawing>
                <wp:inline distT="0" distB="0" distL="0" distR="0" wp14:anchorId="41F5E2C4" wp14:editId="1A5A7D61">
                  <wp:extent cx="5274310" cy="19107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8951D9">
            <w:r>
              <w:rPr>
                <w:noProof/>
              </w:rPr>
              <w:drawing>
                <wp:inline distT="0" distB="0" distL="0" distR="0" wp14:anchorId="15B142D9" wp14:editId="5BB18366">
                  <wp:extent cx="5274310" cy="1154430"/>
                  <wp:effectExtent l="0" t="0" r="254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根据</w:t>
            </w:r>
            <w:r>
              <w:rPr>
                <w:noProof/>
              </w:rPr>
              <w:drawing>
                <wp:inline distT="0" distB="0" distL="0" distR="0" wp14:anchorId="68590C17" wp14:editId="761BEF6A">
                  <wp:extent cx="5274310" cy="55626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上式中红色的部分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可以写成下式，忽略与积分无关的</w:t>
            </w:r>
            <w:r w:rsidRPr="008951D9">
              <w:rPr>
                <w:rFonts w:hint="eastAsia"/>
                <w:b/>
                <w:color w:val="FF0000"/>
                <w:sz w:val="32"/>
                <w:szCs w:val="32"/>
              </w:rPr>
              <w:t>d</w:t>
            </w:r>
          </w:p>
          <w:p w:rsidR="008951D9" w:rsidRDefault="008951D9">
            <w:r>
              <w:rPr>
                <w:noProof/>
              </w:rPr>
              <w:drawing>
                <wp:inline distT="0" distB="0" distL="0" distR="0" wp14:anchorId="087A75BA" wp14:editId="402171E9">
                  <wp:extent cx="3324225" cy="7334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/>
        </w:tc>
      </w:tr>
      <w:tr w:rsidR="0023317E" w:rsidTr="0023317E">
        <w:tc>
          <w:tcPr>
            <w:tcW w:w="8296" w:type="dxa"/>
          </w:tcPr>
          <w:p w:rsidR="0023317E" w:rsidRDefault="00930152">
            <w:r>
              <w:rPr>
                <w:rFonts w:hint="eastAsia"/>
              </w:rPr>
              <w:t>根据极坐标转换</w:t>
            </w:r>
            <w:r>
              <w:rPr>
                <w:noProof/>
              </w:rPr>
              <w:drawing>
                <wp:inline distT="0" distB="0" distL="0" distR="0" wp14:anchorId="105AF984" wp14:editId="237AD615">
                  <wp:extent cx="1819275" cy="8667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930152">
            <w:r>
              <w:rPr>
                <w:noProof/>
              </w:rPr>
              <w:drawing>
                <wp:inline distT="0" distB="0" distL="0" distR="0" wp14:anchorId="37D15683" wp14:editId="028B97FD">
                  <wp:extent cx="5274310" cy="47752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EE6C1E">
            <w:r>
              <w:rPr>
                <w:noProof/>
              </w:rPr>
              <w:drawing>
                <wp:inline distT="0" distB="0" distL="0" distR="0" wp14:anchorId="2B698840" wp14:editId="3B290696">
                  <wp:extent cx="1685925" cy="3333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 w:rsidRPr="00EE6C1E">
              <w:t xml:space="preserve">If we define </w:t>
            </w:r>
            <w:r w:rsidRPr="00EE6C1E">
              <w:rPr>
                <w:b/>
                <w:color w:val="FF0000"/>
              </w:rPr>
              <w:t>θ0</w:t>
            </w:r>
            <w:r w:rsidRPr="00EE6C1E">
              <w:t xml:space="preserve"> as the angle of the perpendicular line, then the angle to the field point can be </w:t>
            </w:r>
            <w:r w:rsidRPr="00EE6C1E">
              <w:lastRenderedPageBreak/>
              <w:t>computed as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38DBAE2" wp14:editId="7F4757CC">
                  <wp:extent cx="1390650" cy="3143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CC7E692" wp14:editId="6080F297">
                  <wp:extent cx="2552700" cy="14478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>
              <w:t>在积分中使用的角度</w:t>
            </w:r>
            <w:r w:rsidRPr="00EE6C1E">
              <w:rPr>
                <w:b/>
                <w:color w:val="FF0000"/>
              </w:rPr>
              <w:t>θ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是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ρ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到垂线角度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>加上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FF0000"/>
              </w:rPr>
              <w:t>局部坐标横轴到垂线的距离</w:t>
            </w:r>
            <w:r>
              <w:rPr>
                <w:rFonts w:hint="eastAsia"/>
                <w:b/>
                <w:color w:val="FF0000"/>
              </w:rPr>
              <w:t>（可能是负数）</w:t>
            </w:r>
          </w:p>
        </w:tc>
      </w:tr>
      <w:tr w:rsidR="0023317E" w:rsidTr="0023317E">
        <w:tc>
          <w:tcPr>
            <w:tcW w:w="8296" w:type="dxa"/>
          </w:tcPr>
          <w:p w:rsidR="0023317E" w:rsidRDefault="000D58FD">
            <w:r>
              <w:rPr>
                <w:noProof/>
              </w:rPr>
              <w:lastRenderedPageBreak/>
              <w:drawing>
                <wp:inline distT="0" distB="0" distL="0" distR="0" wp14:anchorId="30649CCE" wp14:editId="1586B4AF">
                  <wp:extent cx="3533775" cy="3333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pPr>
              <w:rPr>
                <w:noProof/>
              </w:rPr>
            </w:pPr>
            <w:r>
              <w:object w:dxaOrig="14130" w:dyaOrig="1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39.75pt" o:ole="">
                  <v:imagedata r:id="rId32" o:title=""/>
                </v:shape>
                <o:OLEObject Type="Embed" ProgID="PBrush" ShapeID="_x0000_i1025" DrawAspect="Content" ObjectID="_1542827708" r:id="rId33"/>
              </w:objec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AC27B6" wp14:editId="6A662182">
                  <wp:extent cx="5274310" cy="910590"/>
                  <wp:effectExtent l="0" t="0" r="254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r>
              <w:rPr>
                <w:noProof/>
              </w:rPr>
              <w:drawing>
                <wp:inline distT="0" distB="0" distL="0" distR="0" wp14:anchorId="2F598D4F" wp14:editId="40A7917D">
                  <wp:extent cx="5274310" cy="316230"/>
                  <wp:effectExtent l="0" t="0" r="254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Pr="000D58FD" w:rsidRDefault="000D58FD">
            <w:r w:rsidRPr="000D58FD">
              <w:t>[83] M. Guiggiani, Formulation and numerical treatment of boundary integral equations with hypersingular kernels, in: Singular Integrals in Boundary Element Methods, 1998, pp. 85–124.</w:t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5861C9">
            <w:r>
              <w:t>在</w:t>
            </w:r>
            <w:r>
              <w:rPr>
                <w:rFonts w:hint="eastAsia"/>
              </w:rPr>
              <w:t xml:space="preserve"> </w:t>
            </w:r>
            <w:r w:rsidRPr="005861C9">
              <w:rPr>
                <w:b/>
              </w:rPr>
              <w:t>Formulation and numerical treatment of boundary integral equations with hypersingular kernels</w:t>
            </w:r>
            <w:r>
              <w:t xml:space="preserve"> </w:t>
            </w:r>
            <w:r>
              <w:t>中</w:t>
            </w:r>
          </w:p>
          <w:p w:rsidR="005861C9" w:rsidRDefault="005861C9">
            <w:r>
              <w:rPr>
                <w:noProof/>
              </w:rPr>
              <w:drawing>
                <wp:inline distT="0" distB="0" distL="0" distR="0" wp14:anchorId="694EC48C" wp14:editId="22C62D5E">
                  <wp:extent cx="5274310" cy="65151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将上式中的</w:t>
            </w:r>
            <w:r>
              <w:t>w</w:t>
            </w:r>
            <w:r>
              <w:t>替换成基础解</w:t>
            </w:r>
            <w:r>
              <w:rPr>
                <w:noProof/>
              </w:rPr>
              <w:drawing>
                <wp:inline distT="0" distB="0" distL="0" distR="0" wp14:anchorId="0A65DD69" wp14:editId="3E58CD68">
                  <wp:extent cx="2971800" cy="381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8" cy="38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将奇异点</w:t>
            </w:r>
            <w:r w:rsidR="00E417BE">
              <w:rPr>
                <w:rFonts w:hint="eastAsia"/>
              </w:rPr>
              <w:t>（也称为源点，</w:t>
            </w:r>
            <w:r w:rsidR="00E417BE">
              <w:rPr>
                <w:rFonts w:hint="eastAsia"/>
              </w:rPr>
              <w:t>source point</w:t>
            </w:r>
            <w:r w:rsidR="00E417BE">
              <w:rPr>
                <w:rFonts w:hint="eastAsia"/>
              </w:rPr>
              <w:t>）</w:t>
            </w:r>
            <w:r>
              <w:t>周围</w:t>
            </w:r>
            <w:r>
              <w:rPr>
                <w:rFonts w:hint="eastAsia"/>
              </w:rPr>
              <w:t>“扣去”，使得上式可以施加“格林公式”</w:t>
            </w:r>
            <w:r w:rsidR="00CB3607">
              <w:object w:dxaOrig="4785" w:dyaOrig="5205">
                <v:shape id="_x0000_i1026" type="#_x0000_t75" style="width:89.25pt;height:96.75pt" o:ole="">
                  <v:imagedata r:id="rId38" o:title=""/>
                </v:shape>
                <o:OLEObject Type="Embed" ProgID="PBrush" ShapeID="_x0000_i1026" DrawAspect="Content" ObjectID="_1542827709" r:id="rId39"/>
              </w:object>
            </w:r>
          </w:p>
          <w:p w:rsidR="00CB3607" w:rsidRDefault="00CB3607">
            <w:r>
              <w:rPr>
                <w:noProof/>
              </w:rPr>
              <w:lastRenderedPageBreak/>
              <w:drawing>
                <wp:inline distT="0" distB="0" distL="0" distR="0" wp14:anchorId="34318B43" wp14:editId="0B9FA6B6">
                  <wp:extent cx="1285875" cy="3333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</w:t>
            </w:r>
            <w:r>
              <w:rPr>
                <w:noProof/>
              </w:rPr>
              <w:drawing>
                <wp:inline distT="0" distB="0" distL="0" distR="0" wp14:anchorId="45E9B6AD" wp14:editId="3BEC4C3F">
                  <wp:extent cx="2771775" cy="3714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C96" w:rsidRPr="007C0C96" w:rsidRDefault="007C0C96">
            <w:pPr>
              <w:rPr>
                <w:sz w:val="30"/>
                <w:szCs w:val="30"/>
              </w:rPr>
            </w:pPr>
            <w:r w:rsidRPr="007C0C96">
              <w:rPr>
                <w:rFonts w:hint="eastAsia"/>
                <w:b/>
                <w:color w:val="FF0000"/>
                <w:sz w:val="30"/>
                <w:szCs w:val="30"/>
              </w:rPr>
              <w:t>红色</w:t>
            </w:r>
            <w:r w:rsidRPr="007C0C96">
              <w:rPr>
                <w:rFonts w:hint="eastAsia"/>
                <w:sz w:val="30"/>
                <w:szCs w:val="30"/>
              </w:rPr>
              <w:t>是奇异点，源点，</w:t>
            </w:r>
            <w:r w:rsidRPr="007C0C96">
              <w:rPr>
                <w:rFonts w:hint="eastAsia"/>
                <w:b/>
                <w:color w:val="00B050"/>
                <w:sz w:val="30"/>
                <w:szCs w:val="30"/>
              </w:rPr>
              <w:t>绿色</w:t>
            </w:r>
            <w:r w:rsidRPr="007C0C96">
              <w:rPr>
                <w:rFonts w:hint="eastAsia"/>
                <w:sz w:val="30"/>
                <w:szCs w:val="30"/>
              </w:rPr>
              <w:t>是积分点</w:t>
            </w:r>
          </w:p>
          <w:p w:rsidR="007C0C96" w:rsidRPr="005861C9" w:rsidRDefault="007C0C96">
            <w:r>
              <w:rPr>
                <w:noProof/>
              </w:rPr>
              <w:drawing>
                <wp:inline distT="0" distB="0" distL="0" distR="0" wp14:anchorId="5187A471" wp14:editId="783B6321">
                  <wp:extent cx="5274310" cy="567055"/>
                  <wp:effectExtent l="0" t="0" r="254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CB3607">
            <w:r w:rsidRPr="00CB3607">
              <w:lastRenderedPageBreak/>
              <w:t>The overall result is the following identity [10, 13]</w:t>
            </w:r>
          </w:p>
          <w:p w:rsidR="00CB3607" w:rsidRDefault="00CB3607">
            <w:r w:rsidRPr="00CB3607">
              <w:t>[10] Guiggiani, M., Krishnasamy, G., Rudolphi, T.J. &amp; Rizzo, F.J., A general algorithm for the numerical solution of hypersingular boundary integral equations, ASME J. of Applied Mechanics, 59, pp. 604–614, 1992.</w:t>
            </w:r>
          </w:p>
          <w:p w:rsidR="00CB3607" w:rsidRDefault="00CB3607">
            <w:r w:rsidRPr="00CB3607">
              <w:t>[13] Guiggiani, M., Hypersingular formulation for boundary stress evaluation, Engineering Analysis with Boundary Elements, Special Issue on Integration Techniques, 55, pp. 169–179, 1994.</w:t>
            </w:r>
          </w:p>
          <w:p w:rsidR="00CB3607" w:rsidRDefault="00CB3607">
            <w:r>
              <w:rPr>
                <w:noProof/>
              </w:rPr>
              <w:drawing>
                <wp:inline distT="0" distB="0" distL="0" distR="0" wp14:anchorId="6CDB08BF" wp14:editId="1257ED95">
                  <wp:extent cx="5274310" cy="137477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D14ED0" w:rsidRDefault="00D14ED0">
            <w:r>
              <w:t>同样替换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W</w:t>
            </w:r>
          </w:p>
          <w:p w:rsidR="0023317E" w:rsidRDefault="007C0C96">
            <w:r>
              <w:rPr>
                <w:noProof/>
              </w:rPr>
              <w:drawing>
                <wp:inline distT="0" distB="0" distL="0" distR="0" wp14:anchorId="1578727B" wp14:editId="06CF30FF">
                  <wp:extent cx="5274310" cy="816610"/>
                  <wp:effectExtent l="0" t="0" r="254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ED0" w:rsidRPr="005A4D79" w:rsidRDefault="005A4D79">
            <w:pPr>
              <w:rPr>
                <w:sz w:val="28"/>
                <w:szCs w:val="28"/>
              </w:rPr>
            </w:pPr>
            <w:r w:rsidRPr="005A4D79">
              <w:rPr>
                <w:sz w:val="28"/>
                <w:szCs w:val="28"/>
              </w:rPr>
              <w:t xml:space="preserve">Also note that the validity of identities (4) and (5) is not restricted to smooth boundary points (Figure 1). </w:t>
            </w:r>
            <w:r w:rsidRPr="005A4D79">
              <w:rPr>
                <w:b/>
                <w:color w:val="FF0000"/>
                <w:sz w:val="28"/>
                <w:szCs w:val="28"/>
              </w:rPr>
              <w:t>The singular point y can be located at corners, vertices, etc</w:t>
            </w:r>
            <w:r w:rsidRPr="005A4D79">
              <w:rPr>
                <w:sz w:val="28"/>
                <w:szCs w:val="28"/>
              </w:rPr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537050">
            <w:r>
              <w:rPr>
                <w:noProof/>
              </w:rPr>
              <w:drawing>
                <wp:inline distT="0" distB="0" distL="0" distR="0" wp14:anchorId="12EF8908" wp14:editId="0183F184">
                  <wp:extent cx="5274310" cy="1192530"/>
                  <wp:effectExtent l="0" t="0" r="254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lastRenderedPageBreak/>
              <w:drawing>
                <wp:inline distT="0" distB="0" distL="0" distR="0" wp14:anchorId="15B4098E" wp14:editId="6F781C5A">
                  <wp:extent cx="5274310" cy="937260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2F1ABC41" wp14:editId="4B35F2DB">
                  <wp:extent cx="5274310" cy="5905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5EA0F4DC" wp14:editId="4270214B">
                  <wp:extent cx="5274310" cy="63754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</w:tbl>
    <w:p w:rsidR="00560039" w:rsidRDefault="00560039"/>
    <w:p w:rsidR="00CF2542" w:rsidRDefault="00CF2542"/>
    <w:p w:rsidR="00CF2542" w:rsidRDefault="00CF2542" w:rsidP="00CF2542">
      <w:pPr>
        <w:pStyle w:val="a6"/>
      </w:pPr>
      <w:r>
        <w:rPr>
          <w:rFonts w:hint="eastAsia"/>
        </w:rPr>
        <w:t>C Matrix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2542" w:rsidTr="00CF2542">
        <w:tc>
          <w:tcPr>
            <w:tcW w:w="8296" w:type="dxa"/>
          </w:tcPr>
          <w:p w:rsidR="00CF2542" w:rsidRDefault="00BE66C5">
            <w:r w:rsidRPr="00BE66C5">
              <w:t>The Somigliana identity for domains with piecewise smooth boundaries (forming edges and ver</w:t>
            </w:r>
            <w:r>
              <w:t>tices) was proved by Hartmann [</w:t>
            </w:r>
            <w:r w:rsidRPr="00BE66C5">
              <w:t>8].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r w:rsidRPr="006D5E06">
              <w:t>In considering the same asymptotic behaviour of singular terms of the fundamental solutions in elastostatics and elastodynamics (e.g. [11], [1] §3.5), it is worth noting that these formulae are directly applicable to the timeharmonic elastodynamic problem, as well.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r w:rsidRPr="006D5E06">
              <w:t>Finally, the analytical closed formula of the C-matrix for a non-smooth boundary point, with any number of tangent planes, is given.</w:t>
            </w:r>
            <w:r>
              <w:t xml:space="preserve"> </w:t>
            </w:r>
            <w:r>
              <w:t>网格环境描述</w:t>
            </w:r>
          </w:p>
        </w:tc>
      </w:tr>
      <w:tr w:rsidR="00CF2542" w:rsidTr="00CF2542">
        <w:tc>
          <w:tcPr>
            <w:tcW w:w="8296" w:type="dxa"/>
          </w:tcPr>
          <w:p w:rsidR="00CF2542" w:rsidRDefault="00521EE5">
            <w:r w:rsidRPr="00521EE5">
              <w:rPr>
                <w:position w:val="-24"/>
              </w:rPr>
              <w:object w:dxaOrig="980" w:dyaOrig="620">
                <v:shape id="_x0000_i1027" type="#_x0000_t75" style="width:104.25pt;height:66pt" o:ole="">
                  <v:imagedata r:id="rId49" o:title=""/>
                </v:shape>
                <o:OLEObject Type="Embed" ProgID="Equation.DSMT4" ShapeID="_x0000_i1027" DrawAspect="Content" ObjectID="_1542827710" r:id="rId50"/>
              </w:object>
            </w:r>
          </w:p>
        </w:tc>
      </w:tr>
      <w:tr w:rsidR="00CF2542" w:rsidTr="00CF2542">
        <w:tc>
          <w:tcPr>
            <w:tcW w:w="8296" w:type="dxa"/>
          </w:tcPr>
          <w:p w:rsidR="00CF2542" w:rsidRDefault="00800625">
            <w:r>
              <w:rPr>
                <w:noProof/>
              </w:rPr>
              <w:drawing>
                <wp:inline distT="0" distB="0" distL="0" distR="0" wp14:anchorId="74DF1CF0" wp14:editId="3E75BAB1">
                  <wp:extent cx="5274310" cy="910590"/>
                  <wp:effectExtent l="0" t="0" r="254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542" w:rsidTr="00CF2542">
        <w:tc>
          <w:tcPr>
            <w:tcW w:w="8296" w:type="dxa"/>
          </w:tcPr>
          <w:p w:rsidR="00CF2542" w:rsidRDefault="00024F4C">
            <w:r>
              <w:rPr>
                <w:noProof/>
              </w:rPr>
              <w:drawing>
                <wp:inline distT="0" distB="0" distL="0" distR="0" wp14:anchorId="2264867B" wp14:editId="3AB1E29B">
                  <wp:extent cx="4181475" cy="1114425"/>
                  <wp:effectExtent l="0" t="0" r="9525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542" w:rsidTr="00CF2542">
        <w:tc>
          <w:tcPr>
            <w:tcW w:w="8296" w:type="dxa"/>
          </w:tcPr>
          <w:p w:rsidR="00CF2542" w:rsidRDefault="00ED74F1">
            <w:r>
              <w:rPr>
                <w:noProof/>
              </w:rPr>
              <w:drawing>
                <wp:inline distT="0" distB="0" distL="0" distR="0" wp14:anchorId="268D33D7" wp14:editId="15FED2B6">
                  <wp:extent cx="4095750" cy="92392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1" w:name="OLE_LINK1"/>
          <w:bookmarkStart w:id="2" w:name="OLE_LINK2"/>
          <w:p w:rsidR="00ED74F1" w:rsidRDefault="00ED74F1">
            <w:r w:rsidRPr="00ED74F1">
              <w:rPr>
                <w:position w:val="-28"/>
              </w:rPr>
              <w:object w:dxaOrig="6180" w:dyaOrig="999">
                <v:shape id="_x0000_i1028" type="#_x0000_t75" style="width:392.25pt;height:63.75pt" o:ole="">
                  <v:imagedata r:id="rId54" o:title=""/>
                </v:shape>
                <o:OLEObject Type="Embed" ProgID="Equation.DSMT4" ShapeID="_x0000_i1028" DrawAspect="Content" ObjectID="_1542827711" r:id="rId55"/>
              </w:object>
            </w:r>
            <w:bookmarkEnd w:id="1"/>
            <w:bookmarkEnd w:id="2"/>
          </w:p>
        </w:tc>
      </w:tr>
      <w:tr w:rsidR="00CF2542" w:rsidTr="00CF2542">
        <w:tc>
          <w:tcPr>
            <w:tcW w:w="8296" w:type="dxa"/>
          </w:tcPr>
          <w:p w:rsidR="00CF2542" w:rsidRDefault="00757CCD">
            <w:r>
              <w:rPr>
                <w:noProof/>
              </w:rPr>
              <w:lastRenderedPageBreak/>
              <w:drawing>
                <wp:inline distT="0" distB="0" distL="0" distR="0" wp14:anchorId="26F74F25" wp14:editId="680FBEFF">
                  <wp:extent cx="5274310" cy="71183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3" w:name="OLE_LINK3"/>
          <w:bookmarkStart w:id="4" w:name="OLE_LINK4"/>
          <w:p w:rsidR="00757CCD" w:rsidRDefault="00757CCD">
            <w:r w:rsidRPr="00757CCD">
              <w:rPr>
                <w:position w:val="-100"/>
              </w:rPr>
              <w:object w:dxaOrig="3240" w:dyaOrig="2120">
                <v:shape id="_x0000_i1029" type="#_x0000_t75" style="width:198pt;height:129pt" o:ole="">
                  <v:imagedata r:id="rId57" o:title=""/>
                </v:shape>
                <o:OLEObject Type="Embed" ProgID="Equation.DSMT4" ShapeID="_x0000_i1029" DrawAspect="Content" ObjectID="_1542827712" r:id="rId58"/>
              </w:object>
            </w:r>
            <w:bookmarkEnd w:id="3"/>
            <w:bookmarkEnd w:id="4"/>
          </w:p>
        </w:tc>
      </w:tr>
      <w:tr w:rsidR="00CF2542" w:rsidTr="00CF2542">
        <w:tc>
          <w:tcPr>
            <w:tcW w:w="8296" w:type="dxa"/>
          </w:tcPr>
          <w:p w:rsidR="00CF2542" w:rsidRDefault="0024742E">
            <w:r w:rsidRPr="0024742E">
              <w:rPr>
                <w:position w:val="-66"/>
              </w:rPr>
              <w:object w:dxaOrig="6200" w:dyaOrig="1440">
                <v:shape id="_x0000_i1030" type="#_x0000_t75" style="width:403.5pt;height:93.75pt" o:ole="">
                  <v:imagedata r:id="rId59" o:title=""/>
                </v:shape>
                <o:OLEObject Type="Embed" ProgID="Equation.DSMT4" ShapeID="_x0000_i1030" DrawAspect="Content" ObjectID="_1542827713" r:id="rId60"/>
              </w:object>
            </w:r>
          </w:p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</w:tbl>
    <w:p w:rsidR="00CF2542" w:rsidRDefault="00CF2542"/>
    <w:p w:rsidR="00B63595" w:rsidRDefault="00B63595"/>
    <w:p w:rsidR="00B63595" w:rsidRDefault="00B63595">
      <w:r w:rsidRPr="00B63595">
        <w:rPr>
          <w:position w:val="-66"/>
        </w:rPr>
        <w:object w:dxaOrig="6200" w:dyaOrig="1440">
          <v:shape id="_x0000_i1031" type="#_x0000_t75" style="width:501pt;height:116.25pt" o:ole="">
            <v:imagedata r:id="rId61" o:title=""/>
          </v:shape>
          <o:OLEObject Type="Embed" ProgID="Equation.DSMT4" ShapeID="_x0000_i1031" DrawAspect="Content" ObjectID="_1542827714" r:id="rId62"/>
        </w:object>
      </w:r>
    </w:p>
    <w:sectPr w:rsidR="00B63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5D61" w:rsidRDefault="005F5D61" w:rsidP="000301DD">
      <w:r>
        <w:separator/>
      </w:r>
    </w:p>
  </w:endnote>
  <w:endnote w:type="continuationSeparator" w:id="0">
    <w:p w:rsidR="005F5D61" w:rsidRDefault="005F5D61" w:rsidP="00030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MTM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5D61" w:rsidRDefault="005F5D61" w:rsidP="000301DD">
      <w:r>
        <w:separator/>
      </w:r>
    </w:p>
  </w:footnote>
  <w:footnote w:type="continuationSeparator" w:id="0">
    <w:p w:rsidR="005F5D61" w:rsidRDefault="005F5D61" w:rsidP="000301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7E"/>
    <w:rsid w:val="00024F4C"/>
    <w:rsid w:val="000301DD"/>
    <w:rsid w:val="000D58FD"/>
    <w:rsid w:val="00113BEA"/>
    <w:rsid w:val="00160FE5"/>
    <w:rsid w:val="0023317E"/>
    <w:rsid w:val="0024742E"/>
    <w:rsid w:val="00257649"/>
    <w:rsid w:val="00296B7A"/>
    <w:rsid w:val="00303661"/>
    <w:rsid w:val="003C5A76"/>
    <w:rsid w:val="00521EE5"/>
    <w:rsid w:val="00537050"/>
    <w:rsid w:val="00560039"/>
    <w:rsid w:val="005861C9"/>
    <w:rsid w:val="005A4D79"/>
    <w:rsid w:val="005F5D61"/>
    <w:rsid w:val="00601D1D"/>
    <w:rsid w:val="006C282D"/>
    <w:rsid w:val="006D5E06"/>
    <w:rsid w:val="00757CCD"/>
    <w:rsid w:val="007C0C96"/>
    <w:rsid w:val="00800625"/>
    <w:rsid w:val="00863998"/>
    <w:rsid w:val="008951D9"/>
    <w:rsid w:val="00925D0E"/>
    <w:rsid w:val="00930152"/>
    <w:rsid w:val="00966606"/>
    <w:rsid w:val="00980927"/>
    <w:rsid w:val="00B04650"/>
    <w:rsid w:val="00B3778D"/>
    <w:rsid w:val="00B63595"/>
    <w:rsid w:val="00B83176"/>
    <w:rsid w:val="00B91A33"/>
    <w:rsid w:val="00BE66C5"/>
    <w:rsid w:val="00CB0346"/>
    <w:rsid w:val="00CB3607"/>
    <w:rsid w:val="00CF2542"/>
    <w:rsid w:val="00D14ED0"/>
    <w:rsid w:val="00D31A54"/>
    <w:rsid w:val="00DB480C"/>
    <w:rsid w:val="00DF7245"/>
    <w:rsid w:val="00E24184"/>
    <w:rsid w:val="00E27F32"/>
    <w:rsid w:val="00E417BE"/>
    <w:rsid w:val="00E461B2"/>
    <w:rsid w:val="00E9155D"/>
    <w:rsid w:val="00EB4A02"/>
    <w:rsid w:val="00ED74F1"/>
    <w:rsid w:val="00EE6C1E"/>
    <w:rsid w:val="00F9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C88B8E-40C5-4421-AE13-5FA7E57E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31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30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301D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30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301DD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CF254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CF2542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oleObject" Target="embeddings/oleObject2.bin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oleObject" Target="embeddings/oleObject3.bin"/><Relationship Id="rId55" Type="http://schemas.openxmlformats.org/officeDocument/2006/relationships/oleObject" Target="embeddings/oleObject4.bin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image" Target="media/image46.wmf"/><Relationship Id="rId62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oleObject" Target="embeddings/oleObject5.bin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wmf"/><Relationship Id="rId57" Type="http://schemas.openxmlformats.org/officeDocument/2006/relationships/image" Target="media/image48.wmf"/><Relationship Id="rId61" Type="http://schemas.openxmlformats.org/officeDocument/2006/relationships/image" Target="media/image50.w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oleObject" Target="embeddings/oleObject6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49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2359</TotalTime>
  <Pages>1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</dc:creator>
  <cp:keywords/>
  <dc:description/>
  <cp:lastModifiedBy>杨晨</cp:lastModifiedBy>
  <cp:revision>31</cp:revision>
  <dcterms:created xsi:type="dcterms:W3CDTF">2016-10-06T07:42:00Z</dcterms:created>
  <dcterms:modified xsi:type="dcterms:W3CDTF">2016-12-09T14:28:00Z</dcterms:modified>
</cp:coreProperties>
</file>