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3A5F"/>
          <w:sz w:val="44"/>
        </w:rPr>
        <w:t>Retail Partner Business Review — Market Brief</w:t>
      </w:r>
    </w:p>
    <w:p>
      <w:pPr>
        <w:spacing w:after="200"/>
        <w:pBdr>
          <w:bottom w:val="single" w:sz="8" w:space="1" w:color="2E5E8C"/>
        </w:pBdr>
      </w:pPr>
    </w:p>
    <w:p>
      <w:pPr>
        <w:spacing w:after="320"/>
      </w:pPr>
      <w:r>
        <w:rPr>
          <w:rFonts w:ascii="Calibri" w:hAnsi="Calibri"/>
          <w:b w:val="0"/>
          <w:i/>
          <w:color w:val="444444"/>
          <w:sz w:val="20"/>
        </w:rPr>
        <w:t>Prepared by Tia Nelson  |  July 30, 2026  |  Covers BD meeting: Retail Partner Business Review (7/14) — Northgate Pet Supply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1. Meeting Recap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Attendees: </w:t>
      </w:r>
      <w:r>
        <w:rPr>
          <w:rFonts w:ascii="Calibri" w:hAnsi="Calibri"/>
          <w:b w:val="0"/>
          <w:i w:val="0"/>
          <w:sz w:val="21"/>
        </w:rPr>
        <w:t>Maria Chen (Purina Key Account Manager), Dave Holloway (Category Buyer, Northgate Pet Supply), Renee Ortiz (Purina Field Sales Rep), Kevin Park (Store Operations Lead, Northgate).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Reviewed: </w:t>
      </w:r>
      <w:r>
        <w:rPr>
          <w:rFonts w:ascii="Calibri" w:hAnsi="Calibri"/>
          <w:b w:val="0"/>
          <w:i w:val="0"/>
          <w:sz w:val="21"/>
        </w:rPr>
        <w:t>Q2 sell-through data — Pro Plan Adult Shredded Blend and Pro Plan Sport both growing steadily at Northgate. Adult holds primary eye-level placement; Sport sits lower on shelf.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Proposed: </w:t>
      </w:r>
      <w:r>
        <w:rPr>
          <w:rFonts w:ascii="Calibri" w:hAnsi="Calibri"/>
          <w:b w:val="0"/>
          <w:i w:val="0"/>
          <w:sz w:val="21"/>
        </w:rPr>
        <w:t>Renee proposed expanding Sport's facing count ahead of fall, paired with in-store demos targeting active-dog owners.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Concern: </w:t>
      </w:r>
      <w:r>
        <w:rPr>
          <w:rFonts w:ascii="Calibri" w:hAnsi="Calibri"/>
          <w:b w:val="0"/>
          <w:i w:val="0"/>
          <w:sz w:val="21"/>
        </w:rPr>
        <w:t>Dave flagged inconsistent Sport 30/20 velocity outside hunting/working-dog-community stores and questioned whether the price gap vs. Northgate's private label justifies more shelf space.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Concern: </w:t>
      </w:r>
      <w:r>
        <w:rPr>
          <w:rFonts w:ascii="Calibri" w:hAnsi="Calibri"/>
          <w:b w:val="0"/>
          <w:i w:val="0"/>
          <w:sz w:val="21"/>
        </w:rPr>
        <w:t>Kevin cited tight back-stock space ahead of the holiday reset and wants firmer sell-through projections before committing more footprint.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Left: </w:t>
      </w:r>
      <w:r>
        <w:rPr>
          <w:rFonts w:ascii="Calibri" w:hAnsi="Calibri"/>
          <w:b w:val="0"/>
          <w:i w:val="0"/>
          <w:sz w:val="21"/>
        </w:rPr>
        <w:t>Fall demo piloted in 15 stores rather than chain-wide. Renee sends store-type-segmented sales data to Dave by August 15. Shelf reset decision revisited in Q4.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2. Market Signals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Pro Plan Sport 30/20 is explicitly marketed around VO2 max/endurance for canine athletes, hunting dogs, and working dogs — a narrower claim than "active dog owners" broadly (Purina, Vetstreet).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"Lifestyle formulas" for active pets are among the pet-food innovations owners say they're most interested in, signaling real demand for the active-dog category beyond a hunting/working niche.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Private label in specialty pet retail has shifted from a value play to a genuine premium threat: private-label unit sales grew 3.5% in 2024–2025 while national-brand units fell 0.6%; private-label shelf space is up roughly 25% in supermarkets and over 70% of large retailers have launched exclusive pet-food brands; penetration has roughly doubled to ~30% over the past decade (IndexBox, Mordor Intelligence, Business Research Insights).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Private label is increasingly built to match national-brand claims (grain-free, high-protein, functional health), narrowing the differentiation gap Dave is implicitly weighing against Sport's price premium.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3. Implications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Dave's price/shelf-space objection isn't just one buyer being cautious — it tracks a real structural shift where private label is taking share from national brands at retail broadly. Asking for harder proof before expanding Sport's footprint is a rational response to that trend, not resistance to Purina specifically.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Sport's narrow "athlete/hunting/working dog" positioning is a plausible explanation for the inconsistent velocity Dave observed outside those pockets — the product's own framing may be under-indexing the broader "active lifestyle" buyer segment that market data shows is actually growing.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The fall demo plan is well-aligned with data showing lifestyle-formula messaging drives owner interest — but only if the pilot's store selection and messaging target the broader active-lifestyle audience, not just hunting/working-dog-adjacent stores, or it risks reproducing the same velocity gap Dave flagged.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4. Recommended Actions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Renee (by Aug 15): </w:t>
      </w:r>
      <w:r>
        <w:rPr>
          <w:rFonts w:ascii="Calibri" w:hAnsi="Calibri"/>
          <w:b w:val="0"/>
          <w:i w:val="0"/>
          <w:sz w:val="21"/>
        </w:rPr>
        <w:t>Segment the regional sales data by store audience type — hunting/working-dog-adjacent vs. broader active-lifestyle — not just region, to test whether velocity tracks audience rather than geography. This answers Dave's underlying question with data instead of assumption.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Maria: </w:t>
      </w:r>
      <w:r>
        <w:rPr>
          <w:rFonts w:ascii="Calibri" w:hAnsi="Calibri"/>
          <w:b w:val="0"/>
          <w:i w:val="0"/>
          <w:sz w:val="21"/>
        </w:rPr>
        <w:t>When re-pitching shelf space, lead with the private-label share-shift data (private label +3.5% vs. national -0.6%) to reframe the ask as "defend national-brand shelf share before further private-label encroachment" — an argument that serves Northgate's own margin interests, not just Purina's.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Renee/Marketing: </w:t>
      </w:r>
      <w:r>
        <w:rPr>
          <w:rFonts w:ascii="Calibri" w:hAnsi="Calibri"/>
          <w:b w:val="0"/>
          <w:i w:val="0"/>
          <w:sz w:val="21"/>
        </w:rPr>
        <w:t>Scope the 15-store demo pilot to include stores outside the hunting/working-dog core, using active-lifestyle messaging rather than sport/hunting-specific framing, to test whether broader positioning improves velocity before the Q4 shelf-reset decision.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Kevin: </w:t>
      </w:r>
      <w:r>
        <w:rPr>
          <w:rFonts w:ascii="Calibri" w:hAnsi="Calibri"/>
          <w:b w:val="0"/>
          <w:i w:val="0"/>
          <w:sz w:val="21"/>
        </w:rPr>
        <w:t>Come Q4, pair the sell-through results with a smaller-footprint case-pack option for any expanded facing, addressing the back-stock constraint directly rather than assuming a larger footprint is the only path to more shelf space.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