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1F3A5F"/>
          <w:sz w:val="44"/>
        </w:rPr>
        <w:t>Veterinary Channel Partnership — Market Brief</w:t>
      </w:r>
    </w:p>
    <w:p>
      <w:pPr>
        <w:spacing w:after="200"/>
        <w:pBdr>
          <w:bottom w:val="single" w:sz="8" w:space="1" w:color="2E5E8C"/>
        </w:pBdr>
      </w:pPr>
    </w:p>
    <w:p>
      <w:pPr>
        <w:spacing w:after="320"/>
      </w:pPr>
      <w:r>
        <w:rPr>
          <w:rFonts w:ascii="Calibri" w:hAnsi="Calibri"/>
          <w:b w:val="0"/>
          <w:i/>
          <w:color w:val="444444"/>
          <w:sz w:val="20"/>
        </w:rPr>
        <w:t>Prepared by Tia Nelson  |  July 30, 2026  |  Covers BD meeting: Veterinary Channel Partnership (7/27) — Riverbend Animal Hospital</w:t>
      </w:r>
    </w:p>
    <w:p>
      <w:pPr>
        <w:spacing w:before="280" w:after="120"/>
      </w:pPr>
      <w:r>
        <w:rPr>
          <w:rFonts w:ascii="Calibri" w:hAnsi="Calibri"/>
          <w:b/>
          <w:i w:val="0"/>
          <w:color w:val="2E5E8C"/>
          <w:sz w:val="26"/>
        </w:rPr>
        <w:t>1. Meeting Recap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sz w:val="21"/>
        </w:rPr>
        <w:t xml:space="preserve">Attendees: </w:t>
      </w:r>
      <w:r>
        <w:rPr>
          <w:rFonts w:ascii="Calibri" w:hAnsi="Calibri"/>
          <w:b w:val="0"/>
          <w:i w:val="0"/>
          <w:sz w:val="21"/>
        </w:rPr>
        <w:t>Alan Restrepo (Purina Veterinary Channel Manager), Dr. Lisa Fenwick (Lead Veterinarian, Riverbend Animal Hospital), Grace Tomlin (Practice Manager, Riverbend).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sz w:val="21"/>
        </w:rPr>
        <w:t xml:space="preserve">Reviewed: </w:t>
      </w:r>
      <w:r>
        <w:rPr>
          <w:rFonts w:ascii="Calibri" w:hAnsi="Calibri"/>
          <w:b w:val="0"/>
          <w:i w:val="0"/>
          <w:sz w:val="21"/>
        </w:rPr>
        <w:t>Stocking program for Pro Plan Veterinary Diets EN Gastroenteric and HA Hydrolyzed — starting inventory levels, staff training materials, client education handouts.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sz w:val="21"/>
        </w:rPr>
        <w:t xml:space="preserve">Noted: </w:t>
      </w:r>
      <w:r>
        <w:rPr>
          <w:rFonts w:ascii="Calibri" w:hAnsi="Calibri"/>
          <w:b w:val="0"/>
          <w:i w:val="0"/>
          <w:sz w:val="21"/>
        </w:rPr>
        <w:t>Dr. Fenwick said patient interest in therapeutic diets has grown, but staff lack quick-reference materials to explain formula differences in short appointments.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sz w:val="21"/>
        </w:rPr>
        <w:t xml:space="preserve">Concern: </w:t>
      </w:r>
      <w:r>
        <w:rPr>
          <w:rFonts w:ascii="Calibri" w:hAnsi="Calibri"/>
          <w:b w:val="0"/>
          <w:i w:val="0"/>
          <w:sz w:val="21"/>
        </w:rPr>
        <w:t>Grace raised upfront inventory cost given limited clinic storage and asked about smaller trial case sizes.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sz w:val="21"/>
        </w:rPr>
        <w:t xml:space="preserve">Concern: </w:t>
      </w:r>
      <w:r>
        <w:rPr>
          <w:rFonts w:ascii="Calibri" w:hAnsi="Calibri"/>
          <w:b w:val="0"/>
          <w:i w:val="0"/>
          <w:sz w:val="21"/>
        </w:rPr>
        <w:t>Dr. Fenwick noted client confusion between OTC sensitive-stomach formulas and prescription-only Veterinary Diets at checkout.</w:t>
      </w:r>
    </w:p>
    <w:p>
      <w:pPr>
        <w:pStyle w:val="ListBullet"/>
        <w:spacing w:after="120"/>
      </w:pPr>
      <w:r>
        <w:rPr>
          <w:rFonts w:ascii="Calibri" w:hAnsi="Calibri"/>
          <w:b/>
          <w:i w:val="0"/>
          <w:sz w:val="21"/>
        </w:rPr>
        <w:t xml:space="preserve">Left: </w:t>
      </w:r>
      <w:r>
        <w:rPr>
          <w:rFonts w:ascii="Calibri" w:hAnsi="Calibri"/>
          <w:b w:val="0"/>
          <w:i w:val="0"/>
          <w:sz w:val="21"/>
        </w:rPr>
        <w:t>Alan to provide smaller starter case sizes for a 60-day trial and develop clearer OTC-vs-prescription signage. Grace to identify checkout-area shelf space for signage. Group reconvenes after the trial.</w:t>
      </w:r>
    </w:p>
    <w:p>
      <w:pPr>
        <w:spacing w:before="280" w:after="120"/>
      </w:pPr>
      <w:r>
        <w:rPr>
          <w:rFonts w:ascii="Calibri" w:hAnsi="Calibri"/>
          <w:b/>
          <w:i w:val="0"/>
          <w:color w:val="2E5E8C"/>
          <w:sz w:val="26"/>
        </w:rPr>
        <w:t>2. Market Signals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The US pet veterinary/therapeutic diet market is growing steadily (roughly $11.71B to $12.57B in 2026 domestically; global therapeutic diet market near $30.9B in 2026), driven by rising GI-disorder prevalence, wider pet insurance coverage, and growing vet recommendation of prescription nutrition (Mordor Intelligence, Persistence Market Research).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Vet clinics/hospitals remain the dominant distribution channel — over 65% of therapeutic diet sales originate through the veterinary channel, with hospitals/clinics alone holding roughly a 43% revenue share, underscoring how much a single clinic relationship like Riverbend matters to volume.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Purina already runs a Vet Direct model — letting clinics have prescribed diets shipped directly to the pet owner's home rather than dispensed from clinic shelf stock — as a stated growth lever for its therapeutic segment.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Hill's Prescription Diet Gastrointestinal Biome, built on a proprietary "ActivBiome+" technology, is clinically marketed to help firm loose stool within 24 hours and rebalance gut microbiome — a direct, well-marketed competitor to EN Gastroenteric on the same GI claim.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Hill's runs the identical OTC (Sensitive Stomach &amp; Skin) vs. prescription-only (Prescription Diet) line split that Purina does, and Hill's own ingredient quality has drawn public criticism (pea/legume and filler content) — a credibility gap Purina doesn't share on that specific front.</w:t>
      </w:r>
    </w:p>
    <w:p>
      <w:pPr>
        <w:spacing w:before="280" w:after="120"/>
      </w:pPr>
      <w:r>
        <w:rPr>
          <w:rFonts w:ascii="Calibri" w:hAnsi="Calibri"/>
          <w:b/>
          <w:i w:val="0"/>
          <w:color w:val="2E5E8C"/>
          <w:sz w:val="26"/>
        </w:rPr>
        <w:t>3. Implications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Grace's storage/inventory objection has a real solution beyond smaller case packs: Purina's own Vet Direct home-delivery model could let Riverbend prescribe EN Gastroenteric/HA Hydrolyzed without holding as much physical stock, directly addressing her stated constraint rather than just shrinking the ask.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Dr. Fenwick's "staff lack quick-reference materials" complaint is more urgent than it sounds given Hill's ActivBiome+ is an actively marketed, clinically-branded rival claim on the exact same GI territory — Riverbend's vet techs need to be able to differentiate EN Gastroenteric from a named competitor product, not just describe general "gut health" benefits.</w:t>
      </w:r>
    </w:p>
    <w:p>
      <w:pPr>
        <w:pStyle w:val="ListBullet"/>
        <w:spacing w:after="120"/>
      </w:pPr>
      <w:r>
        <w:rPr>
          <w:rFonts w:ascii="Calibri" w:hAnsi="Calibri"/>
          <w:b w:val="0"/>
          <w:i w:val="0"/>
          <w:sz w:val="21"/>
        </w:rPr>
        <w:t>The OTC-vs-Rx confusion Dr. Fenwick raised isn't Riverbend-specific — Hill's runs the same split and has faced public criticism for unclear claims — meaning generic signage may under-serve the actual need; plain, literal language is likely to travel better than category jargon.</w:t>
      </w:r>
    </w:p>
    <w:p>
      <w:pPr>
        <w:spacing w:before="280" w:after="120"/>
      </w:pPr>
      <w:r>
        <w:rPr>
          <w:rFonts w:ascii="Calibri" w:hAnsi="Calibri"/>
          <w:b/>
          <w:i w:val="0"/>
          <w:color w:val="2E5E8C"/>
          <w:sz w:val="26"/>
        </w:rPr>
        <w:t>4. Recommended Actions</w:t>
      </w:r>
    </w:p>
    <w:p>
      <w:pPr>
        <w:pStyle w:val="ListNumber"/>
        <w:spacing w:after="120"/>
      </w:pPr>
      <w:r>
        <w:rPr>
          <w:rFonts w:ascii="Calibri" w:hAnsi="Calibri"/>
          <w:b/>
          <w:i w:val="0"/>
          <w:sz w:val="21"/>
        </w:rPr>
        <w:t xml:space="preserve">Alan: </w:t>
      </w:r>
      <w:r>
        <w:rPr>
          <w:rFonts w:ascii="Calibri" w:hAnsi="Calibri"/>
          <w:b w:val="0"/>
          <w:i w:val="0"/>
          <w:sz w:val="21"/>
        </w:rPr>
        <w:t>Alongside smaller starter case sizes, formally offer Riverbend enrollment in Purina's Vet Direct home-delivery program for EN Gastroenteric/HA Hydrolyzed — it addresses Grace's storage constraint more durably than trial-size inventory alone.</w:t>
      </w:r>
    </w:p>
    <w:p>
      <w:pPr>
        <w:pStyle w:val="ListNumber"/>
        <w:spacing w:after="120"/>
      </w:pPr>
      <w:r>
        <w:rPr>
          <w:rFonts w:ascii="Calibri" w:hAnsi="Calibri"/>
          <w:b/>
          <w:i w:val="0"/>
          <w:sz w:val="21"/>
        </w:rPr>
        <w:t xml:space="preserve">Alan: </w:t>
      </w:r>
      <w:r>
        <w:rPr>
          <w:rFonts w:ascii="Calibri" w:hAnsi="Calibri"/>
          <w:b w:val="0"/>
          <w:i w:val="0"/>
          <w:sz w:val="21"/>
        </w:rPr>
        <w:t>Update Riverbend's staff training materials to include a direct, named comparison against Hill's ActivBiome+ (mechanism and clinical claim differences), not just general EN Gastroenteric benefits, so staff have a specific answer when a client asks how it differs from what Hill's markets.</w:t>
      </w:r>
    </w:p>
    <w:p>
      <w:pPr>
        <w:pStyle w:val="ListNumber"/>
        <w:spacing w:after="120"/>
      </w:pPr>
      <w:r>
        <w:rPr>
          <w:rFonts w:ascii="Calibri" w:hAnsi="Calibri"/>
          <w:b/>
          <w:i w:val="0"/>
          <w:sz w:val="21"/>
        </w:rPr>
        <w:t xml:space="preserve">Alan/Grace: </w:t>
      </w:r>
      <w:r>
        <w:rPr>
          <w:rFonts w:ascii="Calibri" w:hAnsi="Calibri"/>
          <w:b w:val="0"/>
          <w:i w:val="0"/>
          <w:sz w:val="21"/>
        </w:rPr>
        <w:t>Draft the OTC-vs-prescription signage in plain, literal terms (e.g., "requires a vet prescription") rather than category language — the same confusion shows up wherever this OTC/Rx split exists, so specificity is what resolves it.</w:t>
      </w:r>
    </w:p>
    <w:p>
      <w:pPr>
        <w:pStyle w:val="ListNumber"/>
        <w:spacing w:after="120"/>
      </w:pPr>
      <w:r>
        <w:rPr>
          <w:rFonts w:ascii="Calibri" w:hAnsi="Calibri"/>
          <w:b/>
          <w:i w:val="0"/>
          <w:sz w:val="21"/>
        </w:rPr>
        <w:t xml:space="preserve">Alan: </w:t>
      </w:r>
      <w:r>
        <w:rPr>
          <w:rFonts w:ascii="Calibri" w:hAnsi="Calibri"/>
          <w:b w:val="0"/>
          <w:i w:val="0"/>
          <w:sz w:val="21"/>
        </w:rPr>
        <w:t>Track uptake by SKU during the 60-day trial specifically against the GI claim (EN Gastroenteric), given Hill's is actively competing on that exact territory — a soft result there is a competitive signal, not just a stocking-level problem.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