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3A5F"/>
          <w:sz w:val="44"/>
        </w:rPr>
        <w:t>Sensitive Skin &amp; Stomach Digital Campaign — Market Brief</w:t>
      </w:r>
    </w:p>
    <w:p>
      <w:pPr>
        <w:spacing w:after="200"/>
        <w:pBdr>
          <w:bottom w:val="single" w:sz="8" w:space="1" w:color="2E5E8C"/>
        </w:pBdr>
      </w:pPr>
    </w:p>
    <w:p>
      <w:pPr>
        <w:spacing w:after="320"/>
      </w:pPr>
      <w:r>
        <w:rPr>
          <w:rFonts w:ascii="Calibri" w:hAnsi="Calibri"/>
          <w:b w:val="0"/>
          <w:i/>
          <w:color w:val="444444"/>
          <w:sz w:val="20"/>
        </w:rPr>
        <w:t>Prepared by Tia Nelson  |  July 30, 2026  |  Covers BD meeting: Sensitive Skin &amp; Stomach Digital Campaign Planning (7/29)</w:t>
      </w:r>
    </w:p>
    <w:p>
      <w:pPr>
        <w:spacing w:before="280" w:after="120"/>
      </w:pPr>
      <w:r>
        <w:rPr>
          <w:rFonts w:ascii="Calibri" w:hAnsi="Calibri"/>
          <w:b/>
          <w:i w:val="0"/>
          <w:color w:val="2E5E8C"/>
          <w:sz w:val="26"/>
        </w:rPr>
        <w:t>1. Meeting Recap</w:t>
      </w:r>
    </w:p>
    <w:p>
      <w:pPr>
        <w:pStyle w:val="ListBullet"/>
        <w:spacing w:after="120"/>
      </w:pPr>
      <w:r>
        <w:rPr>
          <w:rFonts w:ascii="Calibri" w:hAnsi="Calibri"/>
          <w:b/>
          <w:i w:val="0"/>
          <w:sz w:val="21"/>
        </w:rPr>
        <w:t xml:space="preserve">Attendees: </w:t>
      </w:r>
      <w:r>
        <w:rPr>
          <w:rFonts w:ascii="Calibri" w:hAnsi="Calibri"/>
          <w:b w:val="0"/>
          <w:i w:val="0"/>
          <w:sz w:val="21"/>
        </w:rPr>
        <w:t>Nicole Farrow (Digital Marketing Manager), Brian Kessler (Social Media Strategist), Ana Souza (Creative Lead, Meridian Agency), Jordan Ellis (Brand Manager).</w:t>
      </w:r>
    </w:p>
    <w:p>
      <w:pPr>
        <w:pStyle w:val="ListBullet"/>
        <w:spacing w:after="120"/>
      </w:pPr>
      <w:r>
        <w:rPr>
          <w:rFonts w:ascii="Calibri" w:hAnsi="Calibri"/>
          <w:b/>
          <w:i w:val="0"/>
          <w:sz w:val="21"/>
        </w:rPr>
        <w:t xml:space="preserve">Reviewed: </w:t>
      </w:r>
      <w:r>
        <w:rPr>
          <w:rFonts w:ascii="Calibri" w:hAnsi="Calibri"/>
          <w:b w:val="0"/>
          <w:i w:val="0"/>
          <w:sz w:val="21"/>
        </w:rPr>
        <w:t>Fall digital campaign for Pro Plan Sensitive Skin &amp; Stomach targeting pet parents managing food sensitivities and skin issues — content calendar across paid social, search, and organic, plus an influencer shortlist.</w:t>
      </w:r>
    </w:p>
    <w:p>
      <w:pPr>
        <w:pStyle w:val="ListBullet"/>
        <w:spacing w:after="120"/>
      </w:pPr>
      <w:r>
        <w:rPr>
          <w:rFonts w:ascii="Calibri" w:hAnsi="Calibri"/>
          <w:b/>
          <w:i w:val="0"/>
          <w:sz w:val="21"/>
        </w:rPr>
        <w:t xml:space="preserve">Reviewed: </w:t>
      </w:r>
      <w:r>
        <w:rPr>
          <w:rFonts w:ascii="Calibri" w:hAnsi="Calibri"/>
          <w:b w:val="0"/>
          <w:i w:val="0"/>
          <w:sz w:val="21"/>
        </w:rPr>
        <w:t>Ana's creative concepts built on before-and-after storytelling; Jordan reviewed budget allocation across paid social, search, and influencer spend.</w:t>
      </w:r>
    </w:p>
    <w:p>
      <w:pPr>
        <w:pStyle w:val="ListBullet"/>
        <w:spacing w:after="120"/>
      </w:pPr>
      <w:r>
        <w:rPr>
          <w:rFonts w:ascii="Calibri" w:hAnsi="Calibri"/>
          <w:b/>
          <w:i w:val="0"/>
          <w:sz w:val="21"/>
        </w:rPr>
        <w:t xml:space="preserve">Concern: </w:t>
      </w:r>
      <w:r>
        <w:rPr>
          <w:rFonts w:ascii="Calibri" w:hAnsi="Calibri"/>
          <w:b w:val="0"/>
          <w:i w:val="0"/>
          <w:sz w:val="21"/>
        </w:rPr>
        <w:t>Ana pushed back that the draft messaging read too clinical and risked losing emotional engagement.</w:t>
      </w:r>
    </w:p>
    <w:p>
      <w:pPr>
        <w:pStyle w:val="ListBullet"/>
        <w:spacing w:after="120"/>
      </w:pPr>
      <w:r>
        <w:rPr>
          <w:rFonts w:ascii="Calibri" w:hAnsi="Calibri"/>
          <w:b/>
          <w:i w:val="0"/>
          <w:sz w:val="21"/>
        </w:rPr>
        <w:t xml:space="preserve">Concern: </w:t>
      </w:r>
      <w:r>
        <w:rPr>
          <w:rFonts w:ascii="Calibri" w:hAnsi="Calibri"/>
          <w:b w:val="0"/>
          <w:i w:val="0"/>
          <w:sz w:val="21"/>
        </w:rPr>
        <w:t>Jordan questioned whether the proposed influencer spend would outperform heavier paid-media investment.</w:t>
      </w:r>
    </w:p>
    <w:p>
      <w:pPr>
        <w:pStyle w:val="ListBullet"/>
        <w:spacing w:after="120"/>
      </w:pPr>
      <w:r>
        <w:rPr>
          <w:rFonts w:ascii="Calibri" w:hAnsi="Calibri"/>
          <w:b/>
          <w:i w:val="0"/>
          <w:sz w:val="21"/>
        </w:rPr>
        <w:t xml:space="preserve">Left: </w:t>
      </w:r>
      <w:r>
        <w:rPr>
          <w:rFonts w:ascii="Calibri" w:hAnsi="Calibri"/>
          <w:b w:val="0"/>
          <w:i w:val="0"/>
          <w:sz w:val="21"/>
        </w:rPr>
        <w:t>Ana to revise creative toward warmer, more relatable messaging by August 5. Jordan to finalize the influencer/paid budget split before the next review. Target: mid-September launch.</w:t>
      </w:r>
    </w:p>
    <w:p>
      <w:pPr>
        <w:spacing w:before="280" w:after="120"/>
      </w:pPr>
      <w:r>
        <w:rPr>
          <w:rFonts w:ascii="Calibri" w:hAnsi="Calibri"/>
          <w:b/>
          <w:i w:val="0"/>
          <w:color w:val="2E5E8C"/>
          <w:sz w:val="26"/>
        </w:rPr>
        <w:t>2. Market Signals</w:t>
      </w:r>
    </w:p>
    <w:p>
      <w:pPr>
        <w:pStyle w:val="ListBullet"/>
        <w:spacing w:after="120"/>
      </w:pPr>
      <w:r>
        <w:rPr>
          <w:rFonts w:ascii="Calibri" w:hAnsi="Calibri"/>
          <w:b w:val="0"/>
          <w:i w:val="0"/>
          <w:sz w:val="21"/>
        </w:rPr>
        <w:t>Pet-specific influencer content substantially outperforms typical paid benchmarks: 10–40% engagement rates per post versus 1–3% for macro/brand-account content; pet-owner audiences follow influencers at a 63% rate and engage with pet content at over 2x the rate of general posts.</w:t>
      </w:r>
    </w:p>
    <w:p>
      <w:pPr>
        <w:pStyle w:val="ListBullet"/>
        <w:spacing w:after="120"/>
      </w:pPr>
      <w:r>
        <w:rPr>
          <w:rFonts w:ascii="Calibri" w:hAnsi="Calibri"/>
          <w:b w:val="0"/>
          <w:i w:val="0"/>
          <w:sz w:val="21"/>
        </w:rPr>
        <w:t>Micro-creator, authentic content is what's converting in 2026 — macro-influencer campaigns "drained budgets in 2025 with polished posts that generated likes but failed to move product," while genuine, routine-based reactions from smaller creators are landing with pet owners.</w:t>
      </w:r>
    </w:p>
    <w:p>
      <w:pPr>
        <w:pStyle w:val="ListBullet"/>
        <w:spacing w:after="120"/>
      </w:pPr>
      <w:r>
        <w:rPr>
          <w:rFonts w:ascii="Calibri" w:hAnsi="Calibri"/>
          <w:b w:val="0"/>
          <w:i w:val="0"/>
          <w:sz w:val="21"/>
        </w:rPr>
        <w:t>The highest-ROI structure isn't influencer-vs-paid as an either/or: repurposing top-performing creator content into paid social captures 30–50% of campaign ROI that's otherwise left on the table when brands don't secure usage rights upfront.</w:t>
      </w:r>
    </w:p>
    <w:p>
      <w:pPr>
        <w:pStyle w:val="ListBullet"/>
        <w:spacing w:after="120"/>
      </w:pPr>
      <w:r>
        <w:rPr>
          <w:rFonts w:ascii="Calibri" w:hAnsi="Calibri"/>
          <w:b w:val="0"/>
          <w:i w:val="0"/>
          <w:sz w:val="21"/>
        </w:rPr>
        <w:t>Hill's — Purina's direct competitor in this exact category (Sensitive Stomach &amp; Skin OTC) — has named pet humanization and emotionally-driven marketing as explicit 2026 growth pillars for parent Colgate-Palmolive, backed by a "Because You're Only Human" campaign and an AI-supported "Omni-Demand Generation" model — the whole category is moving toward warmer, more human-feeling marketing.</w:t>
      </w:r>
    </w:p>
    <w:p>
      <w:pPr>
        <w:pStyle w:val="ListBullet"/>
        <w:spacing w:after="120"/>
      </w:pPr>
      <w:r>
        <w:rPr>
          <w:rFonts w:ascii="Calibri" w:hAnsi="Calibri"/>
          <w:b w:val="0"/>
          <w:i w:val="0"/>
          <w:sz w:val="21"/>
        </w:rPr>
        <w:t>Separately, Hill's own ingredient quality (peas, legumes, filler ingredients in its Sensitive Stomach &amp; Skin line) has drawn public criticism — a specific vulnerability Purina isn't exposed to on the same terms.</w:t>
      </w:r>
    </w:p>
    <w:p>
      <w:pPr>
        <w:spacing w:before="280" w:after="120"/>
      </w:pPr>
      <w:r>
        <w:rPr>
          <w:rFonts w:ascii="Calibri" w:hAnsi="Calibri"/>
          <w:b/>
          <w:i w:val="0"/>
          <w:color w:val="2E5E8C"/>
          <w:sz w:val="26"/>
        </w:rPr>
        <w:t>3. Implications</w:t>
      </w:r>
    </w:p>
    <w:p>
      <w:pPr>
        <w:pStyle w:val="ListBullet"/>
        <w:spacing w:after="120"/>
      </w:pPr>
      <w:r>
        <w:rPr>
          <w:rFonts w:ascii="Calibri" w:hAnsi="Calibri"/>
          <w:b w:val="0"/>
          <w:i w:val="0"/>
          <w:sz w:val="21"/>
        </w:rPr>
        <w:t>Ana's pushback on "too clinical" messaging isn't a stylistic preference — it's directionally exactly where the category's highest-performing content and Hill's own stated 2026 strategy are both headed. Sticking with clinical messaging would be working against both the engagement data and the direct competitor's playbook.</w:t>
      </w:r>
    </w:p>
    <w:p>
      <w:pPr>
        <w:pStyle w:val="ListBullet"/>
        <w:spacing w:after="120"/>
      </w:pPr>
      <w:r>
        <w:rPr>
          <w:rFonts w:ascii="Calibri" w:hAnsi="Calibri"/>
          <w:b w:val="0"/>
          <w:i w:val="0"/>
          <w:sz w:val="21"/>
        </w:rPr>
        <w:t>Jordan's budget question has a data-backed answer that isn't "pick one": the highest-ROI move is securing usage rights on the influencer shortlist's best content upfront so it can be repurposed as paid social, rather than treating influencer and paid spend as competing line items.</w:t>
      </w:r>
    </w:p>
    <w:p>
      <w:pPr>
        <w:pStyle w:val="ListBullet"/>
        <w:spacing w:after="120"/>
      </w:pPr>
      <w:r>
        <w:rPr>
          <w:rFonts w:ascii="Calibri" w:hAnsi="Calibri"/>
          <w:b w:val="0"/>
          <w:i w:val="0"/>
          <w:sz w:val="21"/>
        </w:rPr>
        <w:t>Because Hill's marketing leans on premiumization and "human-grade" positioning while its actual ingredient list draws quality criticism, Purina's creative doesn't need to out-market Hill's on emotional tone alone — it can pair warmer storytelling with a straightforward ingredient-confidence angle, a credibility gap Hill's can't easily close.</w:t>
      </w:r>
    </w:p>
    <w:p>
      <w:pPr>
        <w:spacing w:before="280" w:after="120"/>
      </w:pPr>
      <w:r>
        <w:rPr>
          <w:rFonts w:ascii="Calibri" w:hAnsi="Calibri"/>
          <w:b/>
          <w:i w:val="0"/>
          <w:color w:val="2E5E8C"/>
          <w:sz w:val="26"/>
        </w:rPr>
        <w:t>4. Recommended Actions</w:t>
      </w:r>
    </w:p>
    <w:p>
      <w:pPr>
        <w:pStyle w:val="ListNumber"/>
        <w:spacing w:after="120"/>
      </w:pPr>
      <w:r>
        <w:rPr>
          <w:rFonts w:ascii="Calibri" w:hAnsi="Calibri"/>
          <w:b/>
          <w:i w:val="0"/>
          <w:sz w:val="21"/>
        </w:rPr>
        <w:t xml:space="preserve">Ana (by Aug 5): </w:t>
      </w:r>
      <w:r>
        <w:rPr>
          <w:rFonts w:ascii="Calibri" w:hAnsi="Calibri"/>
          <w:b w:val="0"/>
          <w:i w:val="0"/>
          <w:sz w:val="21"/>
        </w:rPr>
        <w:t>Revise creative toward micro-creator-style, authentic before-and-after storytelling rather than polished/macro-style content — matching what the engagement data shows actually converts in this category.</w:t>
      </w:r>
    </w:p>
    <w:p>
      <w:pPr>
        <w:pStyle w:val="ListNumber"/>
        <w:spacing w:after="120"/>
      </w:pPr>
      <w:r>
        <w:rPr>
          <w:rFonts w:ascii="Calibri" w:hAnsi="Calibri"/>
          <w:b/>
          <w:i w:val="0"/>
          <w:sz w:val="21"/>
        </w:rPr>
        <w:t xml:space="preserve">Jordan: </w:t>
      </w:r>
      <w:r>
        <w:rPr>
          <w:rFonts w:ascii="Calibri" w:hAnsi="Calibri"/>
          <w:b w:val="0"/>
          <w:i w:val="0"/>
          <w:sz w:val="21"/>
        </w:rPr>
        <w:t>Before finalizing the budget split, build in contractual usage rights for the top-performing influencer content so it can be repurposed as paid social — the single highest-leverage lever in the data (30–50% additional ROI), which changes the influencer-vs-paid framing entirely.</w:t>
      </w:r>
    </w:p>
    <w:p>
      <w:pPr>
        <w:pStyle w:val="ListNumber"/>
        <w:spacing w:after="120"/>
      </w:pPr>
      <w:r>
        <w:rPr>
          <w:rFonts w:ascii="Calibri" w:hAnsi="Calibri"/>
          <w:b/>
          <w:i w:val="0"/>
          <w:sz w:val="21"/>
        </w:rPr>
        <w:t xml:space="preserve">Nicole/Brian: </w:t>
      </w:r>
      <w:r>
        <w:rPr>
          <w:rFonts w:ascii="Calibri" w:hAnsi="Calibri"/>
          <w:b w:val="0"/>
          <w:i w:val="0"/>
          <w:sz w:val="21"/>
        </w:rPr>
        <w:t>Prioritize short-form video over static posts across the content calendar, consistent with what's driving discovery and engagement in pet content specifically.</w:t>
      </w:r>
    </w:p>
    <w:p>
      <w:pPr>
        <w:pStyle w:val="ListNumber"/>
        <w:spacing w:after="120"/>
      </w:pPr>
      <w:r>
        <w:rPr>
          <w:rFonts w:ascii="Calibri" w:hAnsi="Calibri"/>
          <w:b/>
          <w:i w:val="0"/>
          <w:sz w:val="21"/>
        </w:rPr>
        <w:t xml:space="preserve">Ana/Nicole: </w:t>
      </w:r>
      <w:r>
        <w:rPr>
          <w:rFonts w:ascii="Calibri" w:hAnsi="Calibri"/>
          <w:b w:val="0"/>
          <w:i w:val="0"/>
          <w:sz w:val="21"/>
        </w:rPr>
        <w:t>Where the creative allows, pair warmer emotional storytelling with a plain-spoken ingredient-confidence note — a direct, low-cost contrast against Hill's, whose ingredient quality has drawn public criticism even as its marketing leans heavily on premium/human-grade tone.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