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4D" w:rsidRDefault="00D0584D" w:rsidP="00D0584D">
      <w:r>
        <w:t>Platform Configuration Database –Documentation on the Library</w:t>
      </w:r>
    </w:p>
    <w:p w:rsidR="00D0584D" w:rsidRDefault="00D0584D" w:rsidP="00D0584D"/>
    <w:p w:rsidR="00D0584D" w:rsidRDefault="00D0584D" w:rsidP="00D0584D">
      <w:r>
        <w:t>PEI</w:t>
      </w:r>
    </w:p>
    <w:p w:rsidR="00D0584D" w:rsidRDefault="00D0584D" w:rsidP="00D0584D">
      <w:r>
        <w:t xml:space="preserve">PCD PEIM produces PCD database to manage all dynamic PCD in PEI phase and install </w:t>
      </w:r>
      <w:proofErr w:type="spellStart"/>
      <w:r>
        <w:t>Pcd</w:t>
      </w:r>
      <w:proofErr w:type="spellEnd"/>
      <w:r>
        <w:t xml:space="preserve"> </w:t>
      </w:r>
      <w:proofErr w:type="spellStart"/>
      <w:r>
        <w:t>Ppi</w:t>
      </w:r>
      <w:proofErr w:type="spellEnd"/>
      <w:r>
        <w:t xml:space="preserve"> service.</w:t>
      </w:r>
    </w:p>
    <w:p w:rsidR="00D0584D" w:rsidRDefault="00D0584D" w:rsidP="00D0584D"/>
    <w:p w:rsidR="00D0584D" w:rsidRDefault="00D0584D" w:rsidP="00D0584D">
      <w:r>
        <w:t xml:space="preserve"> There are two PCD PPIs as follows:</w:t>
      </w:r>
    </w:p>
    <w:p w:rsidR="00D0584D" w:rsidRDefault="00D0584D" w:rsidP="00D0584D">
      <w:r>
        <w:t xml:space="preserve">   1) PCD_PPI </w:t>
      </w:r>
    </w:p>
    <w:p w:rsidR="00D0584D" w:rsidRDefault="00D0584D" w:rsidP="00D0584D">
      <w:r>
        <w:t xml:space="preserve">      It is EDKII </w:t>
      </w:r>
      <w:proofErr w:type="gramStart"/>
      <w:r>
        <w:t>implementation which support</w:t>
      </w:r>
      <w:proofErr w:type="gramEnd"/>
      <w:r>
        <w:t xml:space="preserve"> Dynamic/</w:t>
      </w:r>
      <w:proofErr w:type="spellStart"/>
      <w:r>
        <w:t>DynamicEx</w:t>
      </w:r>
      <w:proofErr w:type="spellEnd"/>
      <w:r>
        <w:t xml:space="preserve"> </w:t>
      </w:r>
      <w:proofErr w:type="spellStart"/>
      <w:r>
        <w:t>Pcds</w:t>
      </w:r>
      <w:proofErr w:type="spellEnd"/>
      <w:r>
        <w:t>.</w:t>
      </w:r>
    </w:p>
    <w:p w:rsidR="00D0584D" w:rsidRDefault="00D0584D" w:rsidP="00D0584D">
      <w:r>
        <w:t xml:space="preserve">   2) EFI_PEI_PCD_PPI</w:t>
      </w:r>
    </w:p>
    <w:p w:rsidR="00D0584D" w:rsidRDefault="00D0584D" w:rsidP="00D0584D">
      <w:r>
        <w:t xml:space="preserve">      It is defined by PI specification 1.2, </w:t>
      </w:r>
      <w:proofErr w:type="spellStart"/>
      <w:r>
        <w:t>Vol</w:t>
      </w:r>
      <w:proofErr w:type="spellEnd"/>
      <w:r>
        <w:t xml:space="preserve"> 3 which only support </w:t>
      </w:r>
      <w:proofErr w:type="spellStart"/>
      <w:r>
        <w:t>dynamicEx</w:t>
      </w:r>
      <w:proofErr w:type="spellEnd"/>
      <w:r>
        <w:t xml:space="preserve"> </w:t>
      </w:r>
    </w:p>
    <w:p w:rsidR="00D0584D" w:rsidRDefault="00D0584D" w:rsidP="00D0584D">
      <w:r>
        <w:t xml:space="preserve">  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Pcd</w:t>
      </w:r>
      <w:proofErr w:type="spellEnd"/>
      <w:r>
        <w:t>.</w:t>
      </w:r>
    </w:p>
    <w:p w:rsidR="00D0584D" w:rsidRDefault="00D0584D" w:rsidP="00D0584D">
      <w:r>
        <w:t xml:space="preserve"> For </w:t>
      </w:r>
      <w:proofErr w:type="spellStart"/>
      <w:r>
        <w:t>dynamicEx</w:t>
      </w:r>
      <w:proofErr w:type="spellEnd"/>
      <w:r>
        <w:t xml:space="preserve"> type PCD, it is compatible between PCD_PPI and EFI_PEI_PCD_PPI.</w:t>
      </w:r>
    </w:p>
    <w:p w:rsidR="00D0584D" w:rsidRDefault="00D0584D" w:rsidP="0094225A"/>
    <w:p w:rsidR="00D0584D" w:rsidRDefault="00D0584D" w:rsidP="0094225A"/>
    <w:p w:rsidR="00D0584D" w:rsidRDefault="00D0584D" w:rsidP="0094225A">
      <w:r>
        <w:t>DXE</w:t>
      </w:r>
    </w:p>
    <w:p w:rsidR="0094225A" w:rsidRDefault="0094225A" w:rsidP="0094225A">
      <w:r>
        <w:t xml:space="preserve">PCD DXE driver manage database contains all dynamic PCD entries initialized in </w:t>
      </w:r>
    </w:p>
    <w:p w:rsidR="0094225A" w:rsidRDefault="0094225A" w:rsidP="0094225A">
      <w:r>
        <w:t xml:space="preserve"> PEI phase, DXE phase and produce the implementation of PCD protocol.</w:t>
      </w:r>
    </w:p>
    <w:p w:rsidR="0094225A" w:rsidRDefault="0094225A" w:rsidP="0094225A"/>
    <w:p w:rsidR="0094225A" w:rsidRDefault="0094225A" w:rsidP="0094225A">
      <w:r>
        <w:t xml:space="preserve"> There are two PCD Protocols as follows:</w:t>
      </w:r>
    </w:p>
    <w:p w:rsidR="0094225A" w:rsidRDefault="0094225A" w:rsidP="0094225A">
      <w:r>
        <w:t xml:space="preserve">   1) PCD_PROTOCOL </w:t>
      </w:r>
    </w:p>
    <w:p w:rsidR="0094225A" w:rsidRDefault="0094225A" w:rsidP="0094225A">
      <w:r>
        <w:t xml:space="preserve">      It is EDKII implementation which support Dynamic/</w:t>
      </w:r>
      <w:proofErr w:type="spellStart"/>
      <w:r>
        <w:t>DynamicEx</w:t>
      </w:r>
      <w:proofErr w:type="spellEnd"/>
      <w:r>
        <w:t xml:space="preserve"> type </w:t>
      </w:r>
      <w:proofErr w:type="spellStart"/>
      <w:r>
        <w:t>Pcds</w:t>
      </w:r>
      <w:proofErr w:type="spellEnd"/>
      <w:r>
        <w:t>.</w:t>
      </w:r>
    </w:p>
    <w:p w:rsidR="0094225A" w:rsidRDefault="0094225A" w:rsidP="0094225A">
      <w:r>
        <w:t xml:space="preserve">   2) EFI_PCD_PROTOCOL_PPI</w:t>
      </w:r>
    </w:p>
    <w:p w:rsidR="0094225A" w:rsidRDefault="0094225A" w:rsidP="0094225A">
      <w:r>
        <w:t xml:space="preserve">      It is defined by PI specification 1.2, </w:t>
      </w:r>
      <w:proofErr w:type="spellStart"/>
      <w:r>
        <w:t>Vol</w:t>
      </w:r>
      <w:proofErr w:type="spellEnd"/>
      <w:r>
        <w:t xml:space="preserve"> 3 which only support </w:t>
      </w:r>
      <w:proofErr w:type="spellStart"/>
      <w:r>
        <w:t>dynamicEx</w:t>
      </w:r>
      <w:proofErr w:type="spellEnd"/>
      <w:r>
        <w:t xml:space="preserve"> </w:t>
      </w:r>
    </w:p>
    <w:p w:rsidR="0094225A" w:rsidRDefault="0094225A" w:rsidP="0094225A">
      <w:r>
        <w:t xml:space="preserve">  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Pcd</w:t>
      </w:r>
      <w:proofErr w:type="spellEnd"/>
      <w:r>
        <w:t>.</w:t>
      </w:r>
    </w:p>
    <w:p w:rsidR="0094225A" w:rsidRDefault="0094225A" w:rsidP="0094225A"/>
    <w:p w:rsidR="0094225A" w:rsidRDefault="0094225A" w:rsidP="0094225A">
      <w:r>
        <w:t xml:space="preserve"> For </w:t>
      </w:r>
      <w:proofErr w:type="spellStart"/>
      <w:r>
        <w:t>dynamicEx</w:t>
      </w:r>
      <w:proofErr w:type="spellEnd"/>
      <w:r>
        <w:t xml:space="preserve"> type PCD, it is compatible between PCD_PPI and EFI_PEI_PCD_PPI. </w:t>
      </w:r>
    </w:p>
    <w:p w:rsidR="0094225A" w:rsidRDefault="0094225A" w:rsidP="0094225A">
      <w:r>
        <w:t xml:space="preserve"> PCD DXE driver will produce above two protocols at same time.</w:t>
      </w:r>
    </w:p>
    <w:p w:rsidR="0094225A" w:rsidRDefault="0094225A" w:rsidP="0094225A"/>
    <w:p w:rsidR="0094225A" w:rsidRDefault="0094225A" w:rsidP="0094225A">
      <w:r>
        <w:t xml:space="preserve"> PCD database structure is generated at </w:t>
      </w:r>
      <w:proofErr w:type="spellStart"/>
      <w:r>
        <w:t>autogen.h</w:t>
      </w:r>
      <w:proofErr w:type="spellEnd"/>
      <w:r>
        <w:t>/</w:t>
      </w:r>
      <w:proofErr w:type="spellStart"/>
      <w:r>
        <w:t>autogen.c</w:t>
      </w:r>
      <w:proofErr w:type="spellEnd"/>
      <w:r>
        <w:t xml:space="preserve"> in build time.</w:t>
      </w:r>
    </w:p>
    <w:p w:rsidR="0094225A" w:rsidRDefault="0094225A" w:rsidP="0094225A"/>
    <w:p w:rsidR="0094225A" w:rsidRDefault="0094225A" w:rsidP="0094225A">
      <w:r>
        <w:t xml:space="preserve"> </w:t>
      </w:r>
    </w:p>
    <w:p w:rsidR="0094225A" w:rsidRDefault="0094225A" w:rsidP="0094225A">
      <w:r>
        <w:t xml:space="preserve">                       Introduction of PCD database                   </w:t>
      </w:r>
    </w:p>
    <w:p w:rsidR="0094225A" w:rsidRDefault="0094225A" w:rsidP="0094225A">
      <w:r>
        <w:t xml:space="preserve"> </w:t>
      </w:r>
    </w:p>
    <w:p w:rsidR="0094225A" w:rsidRDefault="0094225A" w:rsidP="0094225A">
      <w:r>
        <w:t xml:space="preserve"> 1, Introduction</w:t>
      </w:r>
    </w:p>
    <w:p w:rsidR="0094225A" w:rsidRDefault="0094225A" w:rsidP="0094225A">
      <w:r>
        <w:t xml:space="preserve">    PCD database hold all dynamic type PCD information. The structure of PEI </w:t>
      </w:r>
      <w:proofErr w:type="gramStart"/>
      <w:r>
        <w:t xml:space="preserve">PCD </w:t>
      </w:r>
      <w:r w:rsidR="008E617E">
        <w:t xml:space="preserve"> </w:t>
      </w:r>
      <w:r>
        <w:t>database</w:t>
      </w:r>
      <w:proofErr w:type="gramEnd"/>
      <w:r>
        <w:t xml:space="preserve"> is generated by build tools according to dynamic PCD usage for specified platform.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2, Dynamic Type PCD</w:t>
      </w:r>
    </w:p>
    <w:p w:rsidR="0094225A" w:rsidRDefault="0094225A" w:rsidP="0094225A">
      <w:r>
        <w:t xml:space="preserve">    Dynamic type PCD is used for the configuration/setting which value is determined</w:t>
      </w:r>
      <w:r w:rsidR="00981CD4">
        <w:t xml:space="preserve"> </w:t>
      </w:r>
      <w:r>
        <w:t>dynamic. In contrast, the value of static type PCD (</w:t>
      </w:r>
      <w:proofErr w:type="spellStart"/>
      <w:r>
        <w:t>FeatureFlag</w:t>
      </w:r>
      <w:proofErr w:type="spellEnd"/>
      <w:r>
        <w:t xml:space="preserve">, </w:t>
      </w:r>
      <w:proofErr w:type="spellStart"/>
      <w:r>
        <w:t>FixedPcd</w:t>
      </w:r>
      <w:proofErr w:type="spellEnd"/>
      <w:proofErr w:type="gramStart"/>
      <w:r>
        <w:t xml:space="preserve">, </w:t>
      </w:r>
      <w:r w:rsidR="00981CD4">
        <w:t xml:space="preserve"> </w:t>
      </w:r>
      <w:proofErr w:type="spellStart"/>
      <w:r>
        <w:t>PatchablePcd</w:t>
      </w:r>
      <w:proofErr w:type="spellEnd"/>
      <w:proofErr w:type="gramEnd"/>
      <w:r>
        <w:t xml:space="preserve">) is fixed in final generated FD image in build time. </w:t>
      </w:r>
    </w:p>
    <w:p w:rsidR="0094225A" w:rsidRDefault="0094225A" w:rsidP="0094225A">
      <w:r>
        <w:t xml:space="preserve">        </w:t>
      </w:r>
    </w:p>
    <w:p w:rsidR="0094225A" w:rsidRDefault="0094225A" w:rsidP="0094225A">
      <w:r>
        <w:t xml:space="preserve">    2.1 The "dynamic" determination means one of below cases:</w:t>
      </w:r>
    </w:p>
    <w:p w:rsidR="0094225A" w:rsidRDefault="0094225A" w:rsidP="0094225A">
      <w:r>
        <w:lastRenderedPageBreak/>
        <w:t xml:space="preserve">      a) The PCD setting value is produced by someone driver and consumed by</w:t>
      </w:r>
      <w:r w:rsidR="00981CD4">
        <w:t xml:space="preserve"> </w:t>
      </w:r>
      <w:r>
        <w:t>other driver in execution time.</w:t>
      </w:r>
    </w:p>
    <w:p w:rsidR="0094225A" w:rsidRDefault="0094225A" w:rsidP="0094225A">
      <w:r>
        <w:t xml:space="preserve">      b) The PCD setting value is set/get by user from FrontPage.</w:t>
      </w:r>
    </w:p>
    <w:p w:rsidR="0094225A" w:rsidRDefault="0094225A" w:rsidP="0094225A">
      <w:r>
        <w:t xml:space="preserve">      c) The PCD setting value is produced by platform OEM vendor in specified area.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   2.2 According to module distribution way, dynamic PCD could be </w:t>
      </w:r>
      <w:proofErr w:type="spellStart"/>
      <w:r>
        <w:t>classfied</w:t>
      </w:r>
      <w:proofErr w:type="spellEnd"/>
      <w:r>
        <w:t xml:space="preserve"> as:</w:t>
      </w:r>
    </w:p>
    <w:p w:rsidR="0094225A" w:rsidRDefault="0094225A" w:rsidP="0094225A">
      <w:r>
        <w:t xml:space="preserve">      </w:t>
      </w:r>
      <w:proofErr w:type="gramStart"/>
      <w:r>
        <w:t>a</w:t>
      </w:r>
      <w:proofErr w:type="gramEnd"/>
      <w:r>
        <w:t>) Dynamic:</w:t>
      </w:r>
    </w:p>
    <w:p w:rsidR="0094225A" w:rsidRDefault="0094225A" w:rsidP="0094225A">
      <w:r>
        <w:t xml:space="preserve">         If module is released in source code and will be built with </w:t>
      </w:r>
      <w:proofErr w:type="gramStart"/>
      <w:r>
        <w:t>platform  DSC</w:t>
      </w:r>
      <w:proofErr w:type="gramEnd"/>
      <w:r>
        <w:t>, the dynamic PCD used by this module can be accessed as:</w:t>
      </w:r>
    </w:p>
    <w:p w:rsidR="0094225A" w:rsidRDefault="0094225A" w:rsidP="0094225A">
      <w:r>
        <w:t xml:space="preserve">                 </w:t>
      </w:r>
      <w:proofErr w:type="spellStart"/>
      <w:proofErr w:type="gramStart"/>
      <w:r>
        <w:t>PcdGetxx</w:t>
      </w:r>
      <w:proofErr w:type="spellEnd"/>
      <w:r>
        <w:t>(</w:t>
      </w:r>
      <w:proofErr w:type="spellStart"/>
      <w:proofErr w:type="gramEnd"/>
      <w:r>
        <w:t>PcdSampleDynamicPcd</w:t>
      </w:r>
      <w:proofErr w:type="spellEnd"/>
      <w:r>
        <w:t xml:space="preserve">); </w:t>
      </w:r>
    </w:p>
    <w:p w:rsidR="00981CD4" w:rsidRDefault="00981CD4" w:rsidP="0094225A"/>
    <w:p w:rsidR="0082611B" w:rsidRDefault="0094225A" w:rsidP="0094225A">
      <w:r>
        <w:t xml:space="preserve">         In building platform, build tools will translate </w:t>
      </w:r>
      <w:proofErr w:type="spellStart"/>
      <w:r>
        <w:t>PcdSampleDynamicPcd</w:t>
      </w:r>
      <w:proofErr w:type="spellEnd"/>
      <w:r>
        <w:t xml:space="preserve"> </w:t>
      </w:r>
      <w:proofErr w:type="gramStart"/>
      <w:r>
        <w:t>to</w:t>
      </w:r>
      <w:r w:rsidR="00981CD4">
        <w:t xml:space="preserve"> </w:t>
      </w:r>
      <w:r>
        <w:t xml:space="preserve"> pair</w:t>
      </w:r>
      <w:proofErr w:type="gramEnd"/>
      <w:r>
        <w:t xml:space="preserve"> of </w:t>
      </w:r>
    </w:p>
    <w:p w:rsidR="0094225A" w:rsidRDefault="0094225A" w:rsidP="0094225A">
      <w:proofErr w:type="gramStart"/>
      <w:r>
        <w:t xml:space="preserve">{Token Space </w:t>
      </w:r>
      <w:proofErr w:type="spellStart"/>
      <w:r>
        <w:t>Guid</w:t>
      </w:r>
      <w:proofErr w:type="spellEnd"/>
      <w:r>
        <w:t>: Token Number} for this PCD.</w:t>
      </w:r>
      <w:proofErr w:type="gramEnd"/>
      <w:r>
        <w:t xml:space="preserve"> </w:t>
      </w:r>
    </w:p>
    <w:p w:rsidR="00981CD4" w:rsidRDefault="00981CD4" w:rsidP="0094225A"/>
    <w:p w:rsidR="0094225A" w:rsidRDefault="0094225A" w:rsidP="0094225A">
      <w:r>
        <w:t xml:space="preserve">      b) </w:t>
      </w:r>
      <w:proofErr w:type="spellStart"/>
      <w:r>
        <w:t>DynamicEx</w:t>
      </w:r>
      <w:proofErr w:type="spellEnd"/>
      <w:r>
        <w:t>:</w:t>
      </w:r>
    </w:p>
    <w:p w:rsidR="0094225A" w:rsidRDefault="0094225A" w:rsidP="0094225A">
      <w:r>
        <w:t xml:space="preserve">         If module is release as binary and will not </w:t>
      </w:r>
      <w:r w:rsidR="00981CD4">
        <w:t>participate</w:t>
      </w:r>
      <w:r>
        <w:t xml:space="preserve"> platform building,</w:t>
      </w:r>
      <w:r w:rsidR="00981CD4">
        <w:t xml:space="preserve"> </w:t>
      </w:r>
      <w:r>
        <w:t>the dynamic PCD used by this module need be accessed as:</w:t>
      </w:r>
    </w:p>
    <w:p w:rsidR="008E617E" w:rsidRDefault="008E617E" w:rsidP="0094225A"/>
    <w:p w:rsidR="0094225A" w:rsidRDefault="0094225A" w:rsidP="0094225A">
      <w:r>
        <w:t xml:space="preserve">               </w:t>
      </w:r>
      <w:proofErr w:type="spellStart"/>
      <w:proofErr w:type="gramStart"/>
      <w:r>
        <w:t>PcdGetxxEx</w:t>
      </w:r>
      <w:proofErr w:type="spellEnd"/>
      <w:r>
        <w:t>(</w:t>
      </w:r>
      <w:proofErr w:type="spellStart"/>
      <w:proofErr w:type="gramEnd"/>
      <w:r>
        <w:t>gEfiMyTokenspaceGuid</w:t>
      </w:r>
      <w:proofErr w:type="spellEnd"/>
      <w:r>
        <w:t xml:space="preserve">, </w:t>
      </w:r>
      <w:proofErr w:type="spellStart"/>
      <w:r>
        <w:t>PcdSampleDynamicPcd</w:t>
      </w:r>
      <w:proofErr w:type="spellEnd"/>
      <w:r>
        <w:t>)</w:t>
      </w:r>
    </w:p>
    <w:p w:rsidR="00981CD4" w:rsidRDefault="00981CD4" w:rsidP="0094225A"/>
    <w:p w:rsidR="0094225A" w:rsidRDefault="0094225A" w:rsidP="0094225A">
      <w:r>
        <w:t xml:space="preserve">         Developer need</w:t>
      </w:r>
      <w:r w:rsidR="008E617E">
        <w:t>s to</w:t>
      </w:r>
      <w:r>
        <w:t xml:space="preserve"> </w:t>
      </w:r>
      <w:r w:rsidR="008E617E">
        <w:t>explicitly give</w:t>
      </w:r>
      <w:r>
        <w:t xml:space="preserve"> {Token Space </w:t>
      </w:r>
      <w:proofErr w:type="spellStart"/>
      <w:r>
        <w:t>Guid</w:t>
      </w:r>
      <w:proofErr w:type="gramStart"/>
      <w:r>
        <w:t>:Token</w:t>
      </w:r>
      <w:proofErr w:type="spellEnd"/>
      <w:proofErr w:type="gramEnd"/>
      <w:r>
        <w:t xml:space="preserve"> Number} as parameter</w:t>
      </w:r>
      <w:r w:rsidR="00981CD4">
        <w:t xml:space="preserve"> </w:t>
      </w:r>
      <w:r>
        <w:t xml:space="preserve">in </w:t>
      </w:r>
      <w:r w:rsidR="008E617E">
        <w:t>writing</w:t>
      </w:r>
      <w:r>
        <w:t xml:space="preserve"> source code.</w:t>
      </w:r>
    </w:p>
    <w:p w:rsidR="0094225A" w:rsidRDefault="0094225A" w:rsidP="0094225A">
      <w:r>
        <w:t xml:space="preserve">         </w:t>
      </w:r>
    </w:p>
    <w:p w:rsidR="0094225A" w:rsidRDefault="0094225A" w:rsidP="0094225A">
      <w:r>
        <w:t xml:space="preserve">    2.3 According to PCD value's storage method, dynamic PCD could be </w:t>
      </w:r>
      <w:r w:rsidR="008E617E">
        <w:t>classified</w:t>
      </w:r>
      <w:r>
        <w:t xml:space="preserve"> as:</w:t>
      </w:r>
    </w:p>
    <w:p w:rsidR="0094225A" w:rsidRDefault="0094225A" w:rsidP="0094225A">
      <w:r>
        <w:t xml:space="preserve">      a) Default Storage: </w:t>
      </w:r>
    </w:p>
    <w:p w:rsidR="0094225A" w:rsidRDefault="0094225A" w:rsidP="0094225A">
      <w:r>
        <w:t xml:space="preserve">         - The PCD value is stored in PCD database maintained by PCD driver in boot time memory.</w:t>
      </w:r>
      <w:r w:rsidR="0082611B">
        <w:t xml:space="preserve"> </w:t>
      </w:r>
      <w:r>
        <w:t xml:space="preserve">This type is used for communication between PEIM/DXE </w:t>
      </w:r>
      <w:proofErr w:type="gramStart"/>
      <w:r>
        <w:t>driver</w:t>
      </w:r>
      <w:proofErr w:type="gramEnd"/>
      <w:r>
        <w:t xml:space="preserve">, DXE/DXE driver. But </w:t>
      </w:r>
      <w:r w:rsidR="00DC0D5C">
        <w:t>all set/get value will be lost</w:t>
      </w:r>
      <w:r>
        <w:t xml:space="preserve"> after boot-time </w:t>
      </w:r>
      <w:proofErr w:type="gramStart"/>
      <w:r>
        <w:t>memory  is</w:t>
      </w:r>
      <w:proofErr w:type="gramEnd"/>
      <w:r>
        <w:t xml:space="preserve"> turn off.</w:t>
      </w:r>
      <w:r w:rsidR="00DC0D5C">
        <w:t xml:space="preserve"> (</w:t>
      </w:r>
      <w:proofErr w:type="gramStart"/>
      <w:r w:rsidR="00DC0D5C">
        <w:t>e.g</w:t>
      </w:r>
      <w:proofErr w:type="gramEnd"/>
      <w:r w:rsidR="00DC0D5C">
        <w:t xml:space="preserve">. </w:t>
      </w:r>
      <w:proofErr w:type="spellStart"/>
      <w:r w:rsidR="00DC0D5C">
        <w:t>ExitBootServices</w:t>
      </w:r>
      <w:proofErr w:type="spellEnd"/>
      <w:r w:rsidR="00DC0D5C">
        <w:t>();)</w:t>
      </w:r>
    </w:p>
    <w:p w:rsidR="0082611B" w:rsidRDefault="0094225A" w:rsidP="0094225A">
      <w:r>
        <w:t xml:space="preserve">         - [</w:t>
      </w:r>
      <w:proofErr w:type="spellStart"/>
      <w:r>
        <w:t>PcdsDynamicDefault</w:t>
      </w:r>
      <w:proofErr w:type="spellEnd"/>
      <w:r>
        <w:t xml:space="preserve">] is used as section name for this type PCD in platform DSC file. </w:t>
      </w:r>
    </w:p>
    <w:p w:rsidR="0094225A" w:rsidRDefault="0082611B" w:rsidP="0094225A">
      <w:r>
        <w:t xml:space="preserve">         - </w:t>
      </w:r>
      <w:r w:rsidR="0094225A">
        <w:t>[</w:t>
      </w:r>
      <w:proofErr w:type="spellStart"/>
      <w:r w:rsidR="0094225A">
        <w:t>PcdsDynamicExDefault</w:t>
      </w:r>
      <w:proofErr w:type="spellEnd"/>
      <w:r w:rsidR="0094225A">
        <w:t xml:space="preserve">] is used for </w:t>
      </w:r>
      <w:proofErr w:type="spellStart"/>
      <w:r w:rsidR="0094225A">
        <w:t>dynamicEx</w:t>
      </w:r>
      <w:proofErr w:type="spellEnd"/>
      <w:r w:rsidR="0094225A">
        <w:t xml:space="preserve"> type PCD.</w:t>
      </w:r>
    </w:p>
    <w:p w:rsidR="0094225A" w:rsidRDefault="0094225A" w:rsidP="0094225A">
      <w:r>
        <w:t xml:space="preserve">         </w:t>
      </w:r>
    </w:p>
    <w:p w:rsidR="0094225A" w:rsidRDefault="0094225A" w:rsidP="0094225A">
      <w:r>
        <w:t xml:space="preserve">      b) Variable Storage: </w:t>
      </w:r>
    </w:p>
    <w:p w:rsidR="0094225A" w:rsidRDefault="0094225A" w:rsidP="0094225A">
      <w:r>
        <w:t xml:space="preserve">         - The PCD value is stored in variable area. </w:t>
      </w:r>
    </w:p>
    <w:p w:rsidR="0094225A" w:rsidRDefault="0094225A" w:rsidP="0094225A">
      <w:r>
        <w:t xml:space="preserve">         - As default storage type, this type PCD could be used for PEI/DXE driver</w:t>
      </w:r>
      <w:r w:rsidR="00DC0D5C">
        <w:t xml:space="preserve"> Communication</w:t>
      </w:r>
      <w:r>
        <w:t xml:space="preserve">. But beside it, this type PCD could </w:t>
      </w:r>
      <w:r w:rsidR="0082611B">
        <w:t>also</w:t>
      </w:r>
      <w:r>
        <w:t xml:space="preserve"> be used to </w:t>
      </w:r>
      <w:proofErr w:type="gramStart"/>
      <w:r>
        <w:t>store  the</w:t>
      </w:r>
      <w:proofErr w:type="gramEnd"/>
      <w:r>
        <w:t xml:space="preserve"> value associate with a HII setting via variable interface.</w:t>
      </w:r>
    </w:p>
    <w:p w:rsidR="0094225A" w:rsidRDefault="0094225A" w:rsidP="0094225A">
      <w:r>
        <w:t xml:space="preserve">         - In PEI phase, the PCD value could only be got but </w:t>
      </w:r>
      <w:r w:rsidR="0082611B">
        <w:t>cannot</w:t>
      </w:r>
      <w:r>
        <w:t xml:space="preserve"> be set due to variable area is </w:t>
      </w:r>
      <w:r w:rsidR="008E617E">
        <w:t>read only</w:t>
      </w:r>
      <w:r>
        <w:t>.</w:t>
      </w:r>
    </w:p>
    <w:p w:rsidR="0082611B" w:rsidRDefault="0094225A" w:rsidP="0094225A">
      <w:r>
        <w:t xml:space="preserve">         - [</w:t>
      </w:r>
      <w:proofErr w:type="spellStart"/>
      <w:r>
        <w:t>PcdsDynamicHii</w:t>
      </w:r>
      <w:proofErr w:type="spellEnd"/>
      <w:r>
        <w:t xml:space="preserve">] is used as section name for this type PCD in platform DSC file. </w:t>
      </w:r>
    </w:p>
    <w:p w:rsidR="0094225A" w:rsidRDefault="0082611B" w:rsidP="0094225A">
      <w:r>
        <w:t xml:space="preserve">         - </w:t>
      </w:r>
      <w:r w:rsidR="0094225A">
        <w:t>[</w:t>
      </w:r>
      <w:proofErr w:type="spellStart"/>
      <w:r w:rsidR="0094225A">
        <w:t>PcdsDynamicExHii</w:t>
      </w:r>
      <w:proofErr w:type="spellEnd"/>
      <w:r w:rsidR="0094225A">
        <w:t xml:space="preserve">] is for </w:t>
      </w:r>
      <w:proofErr w:type="spellStart"/>
      <w:r w:rsidR="0094225A">
        <w:t>dynamicEx</w:t>
      </w:r>
      <w:proofErr w:type="spellEnd"/>
      <w:r w:rsidR="0094225A">
        <w:t xml:space="preserve"> type PCD.</w:t>
      </w:r>
    </w:p>
    <w:p w:rsidR="0094225A" w:rsidRDefault="0094225A" w:rsidP="0094225A">
      <w:r>
        <w:t xml:space="preserve">           </w:t>
      </w:r>
    </w:p>
    <w:p w:rsidR="0094225A" w:rsidRDefault="0094225A" w:rsidP="0094225A">
      <w:r>
        <w:t xml:space="preserve">      c) OEM </w:t>
      </w:r>
      <w:r w:rsidR="008E617E">
        <w:t>specified</w:t>
      </w:r>
      <w:r>
        <w:t xml:space="preserve"> storage area:</w:t>
      </w:r>
    </w:p>
    <w:p w:rsidR="0082611B" w:rsidRDefault="0094225A" w:rsidP="0094225A">
      <w:r>
        <w:t xml:space="preserve">         - The PCD value is stored in OEM specified area which base address is specified by a </w:t>
      </w:r>
      <w:proofErr w:type="spellStart"/>
      <w:r>
        <w:t>FixedAtBuild</w:t>
      </w:r>
      <w:proofErr w:type="spellEnd"/>
      <w:r>
        <w:t xml:space="preserve"> PCD setting </w:t>
      </w:r>
    </w:p>
    <w:p w:rsidR="0094225A" w:rsidRDefault="0094225A" w:rsidP="0094225A">
      <w:r>
        <w:lastRenderedPageBreak/>
        <w:t xml:space="preserve">- </w:t>
      </w:r>
      <w:proofErr w:type="spellStart"/>
      <w:r>
        <w:t>PcdVpdBaseAddress</w:t>
      </w:r>
      <w:proofErr w:type="spellEnd"/>
      <w:r>
        <w:t>.</w:t>
      </w:r>
    </w:p>
    <w:p w:rsidR="0094225A" w:rsidRDefault="0094225A" w:rsidP="0094225A">
      <w:r>
        <w:t xml:space="preserve">         - The area is read only for PEI and DXE phase.</w:t>
      </w:r>
    </w:p>
    <w:p w:rsidR="0082611B" w:rsidRDefault="0094225A" w:rsidP="0094225A">
      <w:r>
        <w:t xml:space="preserve">         - [</w:t>
      </w:r>
      <w:proofErr w:type="spellStart"/>
      <w:r>
        <w:t>PcdsDynamicVpd</w:t>
      </w:r>
      <w:proofErr w:type="spellEnd"/>
      <w:r>
        <w:t>] is used as section name for this type PCD in platform DSC file.</w:t>
      </w:r>
    </w:p>
    <w:p w:rsidR="0094225A" w:rsidRDefault="0082611B" w:rsidP="0094225A">
      <w:r>
        <w:t xml:space="preserve">         - </w:t>
      </w:r>
      <w:r w:rsidR="0094225A">
        <w:t>[</w:t>
      </w:r>
      <w:proofErr w:type="spellStart"/>
      <w:r w:rsidR="0094225A">
        <w:t>PcdsDynamicExVpd</w:t>
      </w:r>
      <w:proofErr w:type="spellEnd"/>
      <w:r w:rsidR="0094225A">
        <w:t xml:space="preserve">] is for </w:t>
      </w:r>
      <w:proofErr w:type="spellStart"/>
      <w:r w:rsidR="0094225A">
        <w:t>dynamicex</w:t>
      </w:r>
      <w:proofErr w:type="spellEnd"/>
      <w:r w:rsidR="0094225A">
        <w:t xml:space="preserve"> type PCD.</w:t>
      </w:r>
    </w:p>
    <w:p w:rsidR="0094225A" w:rsidRDefault="0094225A" w:rsidP="0094225A">
      <w:r>
        <w:t xml:space="preserve">      </w:t>
      </w:r>
    </w:p>
    <w:p w:rsidR="0094225A" w:rsidRDefault="0094225A" w:rsidP="0094225A">
      <w:r>
        <w:t xml:space="preserve">    2.4 When and how to use dynamic PCD</w:t>
      </w:r>
    </w:p>
    <w:p w:rsidR="0094225A" w:rsidRDefault="0094225A" w:rsidP="0094225A">
      <w:r>
        <w:t xml:space="preserve">      Module developer do not care the used PCD is dynamic or static when </w:t>
      </w:r>
      <w:r w:rsidR="008E617E">
        <w:t>writing</w:t>
      </w:r>
      <w:r>
        <w:t xml:space="preserve"> source code/INF. Dynamic PCD and dynamic type is pointed by platform integrator in platform DSC file. Please ref section 2.3 to get matching between dynamic</w:t>
      </w:r>
      <w:r w:rsidR="0082611B">
        <w:t xml:space="preserve"> </w:t>
      </w:r>
      <w:r>
        <w:t>PCD type and section name in DSC file.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3, PCD database:</w:t>
      </w:r>
    </w:p>
    <w:p w:rsidR="0094225A" w:rsidRDefault="0094225A" w:rsidP="0094225A">
      <w:r>
        <w:t xml:space="preserve">    Although dynamic PCD could be in different storage type as above description, but the basic information and default value for all dynamic PCD is hold</w:t>
      </w:r>
      <w:r w:rsidR="008E617E">
        <w:t xml:space="preserve"> </w:t>
      </w:r>
      <w:r>
        <w:t>by PCD database maintained by PEI/DXE driver.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   As the whole EFI BIOS boot path is divided into PEI/DXE phase, the PCD database</w:t>
      </w:r>
      <w:r w:rsidR="008E617E">
        <w:t xml:space="preserve"> </w:t>
      </w:r>
      <w:r>
        <w:t>also is divided into Pei/</w:t>
      </w:r>
      <w:proofErr w:type="spellStart"/>
      <w:r>
        <w:t>Dxe</w:t>
      </w:r>
      <w:proofErr w:type="spellEnd"/>
      <w:r>
        <w:t xml:space="preserve"> database </w:t>
      </w:r>
      <w:r w:rsidR="008E617E">
        <w:t>maintained</w:t>
      </w:r>
      <w:r>
        <w:t xml:space="preserve"> by </w:t>
      </w:r>
      <w:proofErr w:type="spellStart"/>
      <w:r>
        <w:t>PcdPeim</w:t>
      </w:r>
      <w:proofErr w:type="spellEnd"/>
      <w:r>
        <w:t>/</w:t>
      </w:r>
      <w:proofErr w:type="spellStart"/>
      <w:r>
        <w:t>PcdDxe</w:t>
      </w:r>
      <w:proofErr w:type="spellEnd"/>
      <w:r>
        <w:t xml:space="preserve"> driver </w:t>
      </w:r>
      <w:r w:rsidR="008E617E">
        <w:t>separately</w:t>
      </w:r>
      <w:r>
        <w:t>.</w:t>
      </w:r>
      <w:r w:rsidR="0082611B">
        <w:t xml:space="preserve"> </w:t>
      </w:r>
      <w:r>
        <w:t xml:space="preserve">To make </w:t>
      </w:r>
      <w:proofErr w:type="spellStart"/>
      <w:r>
        <w:t>PcdPeim's</w:t>
      </w:r>
      <w:proofErr w:type="spellEnd"/>
      <w:r>
        <w:t xml:space="preserve"> driver image smaller, PEI PCD database only hold all dynamic</w:t>
      </w:r>
      <w:r w:rsidR="008E617E">
        <w:t xml:space="preserve"> </w:t>
      </w:r>
      <w:r>
        <w:t>PCD information used in PEI phase or use in both PEI/DXE phase. And DXE PCD</w:t>
      </w:r>
      <w:r w:rsidR="008E617E">
        <w:t xml:space="preserve"> </w:t>
      </w:r>
      <w:r>
        <w:t>database contains all PCDs used in PEI/DXE phase in memory.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   Build tool will generate PCD database into some C structure and variable for</w:t>
      </w:r>
      <w:r w:rsidR="0082611B">
        <w:t xml:space="preserve"> </w:t>
      </w:r>
      <w:r>
        <w:t xml:space="preserve">PEI/DXE PCD driver according to dynamic PCD section in platform DSC file. </w:t>
      </w:r>
    </w:p>
    <w:p w:rsidR="0094225A" w:rsidRDefault="0094225A" w:rsidP="0094225A">
      <w:r>
        <w:t xml:space="preserve">    </w:t>
      </w:r>
    </w:p>
    <w:p w:rsidR="0094225A" w:rsidRDefault="0094225A" w:rsidP="0094225A">
      <w:r>
        <w:t xml:space="preserve">    3.1 </w:t>
      </w:r>
      <w:proofErr w:type="spellStart"/>
      <w:r>
        <w:t>PcdPeim</w:t>
      </w:r>
      <w:proofErr w:type="spellEnd"/>
      <w:r>
        <w:t xml:space="preserve"> and </w:t>
      </w:r>
      <w:proofErr w:type="spellStart"/>
      <w:r>
        <w:t>PcdDxe</w:t>
      </w:r>
      <w:proofErr w:type="spellEnd"/>
    </w:p>
    <w:p w:rsidR="0094225A" w:rsidRDefault="0094225A" w:rsidP="0094225A">
      <w:r>
        <w:t xml:space="preserve">      PEI PCD database is maintained by </w:t>
      </w:r>
      <w:proofErr w:type="spellStart"/>
      <w:r>
        <w:t>PcdPeim</w:t>
      </w:r>
      <w:proofErr w:type="spellEnd"/>
      <w:r>
        <w:t xml:space="preserve"> driver run from flash. </w:t>
      </w:r>
      <w:proofErr w:type="spellStart"/>
      <w:r>
        <w:t>PcdPeim</w:t>
      </w:r>
      <w:proofErr w:type="spellEnd"/>
      <w:r>
        <w:t xml:space="preserve"> driver</w:t>
      </w:r>
      <w:r w:rsidR="0082611B">
        <w:t xml:space="preserve"> </w:t>
      </w:r>
      <w:r>
        <w:t xml:space="preserve">build </w:t>
      </w:r>
      <w:proofErr w:type="spellStart"/>
      <w:r>
        <w:t>guid</w:t>
      </w:r>
      <w:proofErr w:type="spellEnd"/>
      <w:r>
        <w:t xml:space="preserve"> hob in temporary memory and copy auto-generated C </w:t>
      </w:r>
      <w:proofErr w:type="spellStart"/>
      <w:r>
        <w:t>structur</w:t>
      </w:r>
      <w:proofErr w:type="spellEnd"/>
      <w:r>
        <w:t xml:space="preserve"> to temporary memory for PEI PCD database.  DXE PCD database is maintained by </w:t>
      </w:r>
      <w:proofErr w:type="spellStart"/>
      <w:r>
        <w:t>PcdDxe</w:t>
      </w:r>
      <w:proofErr w:type="spellEnd"/>
      <w:r>
        <w:t xml:space="preserve"> </w:t>
      </w:r>
      <w:proofErr w:type="spellStart"/>
      <w:r>
        <w:t>driver.At</w:t>
      </w:r>
      <w:proofErr w:type="spellEnd"/>
      <w:r>
        <w:t xml:space="preserve"> entry point of </w:t>
      </w:r>
      <w:proofErr w:type="spellStart"/>
      <w:r>
        <w:t>PcdDxe</w:t>
      </w:r>
      <w:proofErr w:type="spellEnd"/>
      <w:r>
        <w:t xml:space="preserve"> driver,</w:t>
      </w:r>
      <w:r w:rsidR="00E774F3">
        <w:t xml:space="preserve"> </w:t>
      </w:r>
      <w:r>
        <w:t xml:space="preserve"> new PCD database is allocated in boot-time memory which including all</w:t>
      </w:r>
      <w:r w:rsidR="00E774F3">
        <w:t xml:space="preserve"> </w:t>
      </w:r>
      <w:r>
        <w:t>PEI PCD and DXE PCD entry.</w:t>
      </w:r>
    </w:p>
    <w:p w:rsidR="0094225A" w:rsidRDefault="0094225A" w:rsidP="0094225A">
      <w:r>
        <w:t xml:space="preserve">      </w:t>
      </w:r>
    </w:p>
    <w:p w:rsidR="0094225A" w:rsidRDefault="0094225A" w:rsidP="0094225A">
      <w:r>
        <w:t xml:space="preserve">      </w:t>
      </w:r>
      <w:proofErr w:type="spellStart"/>
      <w:r>
        <w:t>Pcd</w:t>
      </w:r>
      <w:proofErr w:type="spellEnd"/>
      <w:r>
        <w:t xml:space="preserve"> driver should run as early as possible before any other driver access dynamic PCD's value. PEI/DXE "</w:t>
      </w:r>
      <w:proofErr w:type="spellStart"/>
      <w:r>
        <w:t>Apriori</w:t>
      </w:r>
      <w:proofErr w:type="spellEnd"/>
      <w:r>
        <w:t xml:space="preserve"> Fil</w:t>
      </w:r>
      <w:r w:rsidR="00E774F3">
        <w:t xml:space="preserve">e" </w:t>
      </w:r>
      <w:proofErr w:type="gramStart"/>
      <w:r w:rsidR="00E774F3">
        <w:t>mechanism make</w:t>
      </w:r>
      <w:proofErr w:type="gramEnd"/>
      <w:r w:rsidR="00E774F3">
        <w:t xml:space="preserve"> it possible by</w:t>
      </w:r>
      <w:r>
        <w:t xml:space="preserve"> making </w:t>
      </w:r>
      <w:proofErr w:type="spellStart"/>
      <w:r>
        <w:t>PcdPeim</w:t>
      </w:r>
      <w:proofErr w:type="spellEnd"/>
      <w:r>
        <w:t>/</w:t>
      </w:r>
      <w:proofErr w:type="spellStart"/>
      <w:r>
        <w:t>PcdDxe</w:t>
      </w:r>
      <w:proofErr w:type="spellEnd"/>
      <w:r>
        <w:t xml:space="preserve"> as first dispatching driver in PEI/DXE phase.</w:t>
      </w:r>
    </w:p>
    <w:p w:rsidR="0094225A" w:rsidRDefault="0094225A" w:rsidP="0094225A">
      <w:r>
        <w:t xml:space="preserve">      </w:t>
      </w:r>
    </w:p>
    <w:p w:rsidR="0094225A" w:rsidRDefault="0094225A" w:rsidP="0094225A">
      <w:r>
        <w:t xml:space="preserve">    3.2 Token space </w:t>
      </w:r>
      <w:proofErr w:type="spellStart"/>
      <w:r>
        <w:t>Guid</w:t>
      </w:r>
      <w:proofErr w:type="spellEnd"/>
      <w:r>
        <w:t xml:space="preserve">/Token number, Platform token, </w:t>
      </w:r>
      <w:proofErr w:type="gramStart"/>
      <w:r>
        <w:t>Local</w:t>
      </w:r>
      <w:proofErr w:type="gramEnd"/>
      <w:r>
        <w:t xml:space="preserve"> token number</w:t>
      </w:r>
    </w:p>
    <w:p w:rsidR="00106501" w:rsidRDefault="00106501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Default="00106501" w:rsidP="00106501">
      <w:pPr>
        <w:spacing w:line="168" w:lineRule="auto"/>
        <w:ind w:hanging="1170"/>
        <w:rPr>
          <w:rFonts w:ascii="Courier New" w:hAnsi="Courier New" w:cs="Courier New"/>
        </w:rPr>
      </w:pPr>
      <w:r w:rsidRPr="00106501">
        <w:rPr>
          <w:rFonts w:ascii="Courier New" w:hAnsi="Courier New" w:cs="Courier New"/>
        </w:rPr>
        <w:t xml:space="preserve">         </w:t>
      </w:r>
    </w:p>
    <w:p w:rsidR="00A92907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</w:p>
    <w:p w:rsidR="00A92907" w:rsidRPr="0094225A" w:rsidRDefault="00A92907" w:rsidP="00106501">
      <w:pPr>
        <w:spacing w:line="168" w:lineRule="auto"/>
        <w:ind w:hanging="1170"/>
        <w:rPr>
          <w:rFonts w:ascii="Courier New" w:hAnsi="Courier New" w:cs="Courier New"/>
        </w:rPr>
      </w:pPr>
      <w:r w:rsidRPr="00A92907">
        <w:rPr>
          <w:rFonts w:ascii="Courier New" w:hAnsi="Courier New" w:cs="Courier New"/>
        </w:rPr>
        <w:lastRenderedPageBreak/>
        <w:drawing>
          <wp:inline distT="0" distB="0" distL="0" distR="0">
            <wp:extent cx="5486400" cy="4086078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94363" cy="6549483"/>
                      <a:chOff x="197237" y="152400"/>
                      <a:chExt cx="8794363" cy="6549483"/>
                    </a:xfrm>
                  </a:grpSpPr>
                  <a:sp>
                    <a:nvSpPr>
                      <a:cNvPr id="2" name="Rectangle 1"/>
                      <a:cNvSpPr/>
                    </a:nvSpPr>
                    <a:spPr bwMode="auto">
                      <a:xfrm>
                        <a:off x="858644" y="1271242"/>
                        <a:ext cx="2442117" cy="1070514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1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TokenSpace</a:t>
                          </a:r>
                          <a:r>
                            <a:rPr kumimoji="0" lang="en-US" sz="2000" b="1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 </a:t>
                          </a:r>
                          <a:r>
                            <a:rPr kumimoji="0" lang="en-US" sz="2000" b="1" i="0" u="none" strike="noStrike" cap="none" normalizeH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Guid</a:t>
                          </a:r>
                          <a:r>
                            <a:rPr kumimoji="0" lang="en-US" sz="2000" b="1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 </a:t>
                          </a: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1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+</a:t>
                          </a: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baseline="0" dirty="0" smtClean="0"/>
                            <a:t>Token Number</a:t>
                          </a:r>
                          <a:endParaRPr kumimoji="0" lang="en-US" sz="2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Rectangle 2"/>
                      <a:cNvSpPr/>
                    </a:nvSpPr>
                    <a:spPr bwMode="auto">
                      <a:xfrm>
                        <a:off x="4267192" y="3852738"/>
                        <a:ext cx="2442117" cy="1131857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dirty="0" err="1" smtClean="0"/>
                            <a:t>TokenSpace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Guid</a:t>
                          </a:r>
                          <a:r>
                            <a:rPr lang="en-US" dirty="0" smtClean="0"/>
                            <a:t> </a:t>
                          </a:r>
                        </a:p>
                        <a:p>
                          <a:pPr algn="ctr" eaLnBrk="0" hangingPunct="0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 eaLnBrk="0" hangingPunct="0"/>
                          <a:r>
                            <a:rPr lang="en-US" dirty="0" smtClean="0"/>
                            <a:t>Token Number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037063" y="758372"/>
                        <a:ext cx="197376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Dynamic PCD</a:t>
                          </a:r>
                          <a:endParaRPr lang="en-US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4222584" y="3429000"/>
                        <a:ext cx="2390079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DynamicEX</a:t>
                          </a:r>
                          <a:r>
                            <a:rPr lang="en-US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 PCD</a:t>
                          </a:r>
                          <a:endParaRPr lang="en-US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 bwMode="auto">
                      <a:xfrm>
                        <a:off x="4572000" y="1211766"/>
                        <a:ext cx="1338147" cy="1405054"/>
                      </a:xfrm>
                      <a:prstGeom prst="rect">
                        <a:avLst/>
                      </a:prstGeom>
                      <a:solidFill>
                        <a:srgbClr val="C7E6A4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Platform</a:t>
                          </a:r>
                          <a:endParaRPr kumimoji="0" lang="en-US" sz="2000" b="1" i="0" u="none" strike="noStrike" cap="none" normalizeH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baseline="0" dirty="0" smtClean="0"/>
                            <a:t>Token </a:t>
                          </a: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baseline="0" dirty="0" smtClean="0"/>
                            <a:t>Number</a:t>
                          </a:r>
                          <a:endParaRPr kumimoji="0" lang="en-US" sz="2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itle 6"/>
                      <a:cNvSpPr>
                        <a:spLocks noGrp="1"/>
                      </a:cNvSpPr>
                    </a:nvSpPr>
                    <a:spPr bwMode="auto">
                      <a:xfrm>
                        <a:off x="2514600" y="152400"/>
                        <a:ext cx="6477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2075" tIns="46038" rIns="92075" bIns="46038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b="1" i="1">
                              <a:solidFill>
                                <a:srgbClr val="0033CC"/>
                              </a:solidFill>
                              <a:latin typeface="Arial" charset="0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Token space Guild/Token number, Platform, Local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Content Placeholder 7"/>
                      <a:cNvSpPr>
                        <a:spLocks noGrp="1"/>
                      </a:cNvSpPr>
                    </a:nvSpPr>
                    <a:spPr bwMode="auto">
                      <a:xfrm>
                        <a:off x="197237" y="3220845"/>
                        <a:ext cx="4029075" cy="155187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2075" tIns="46038" rIns="92075" bIns="46038" numCol="1" anchor="t" anchorCtr="0" compatLnSpc="1">
                          <a:prstTxWarp prst="textNoShape">
                            <a:avLst/>
                          </a:prstTxWarp>
                          <a:normAutofit/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Times New Roman" pitchFamily="18" charset="0"/>
                            <a:buChar char="–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PEI PCD database is maintained by </a:t>
                          </a:r>
                          <a:r>
                            <a:rPr lang="en-US" sz="1400" dirty="0" err="1" smtClean="0"/>
                            <a:t>PcdPeim</a:t>
                          </a:r>
                          <a:r>
                            <a:rPr lang="en-US" sz="1400" dirty="0" smtClean="0"/>
                            <a:t> driver run from flash. </a:t>
                          </a:r>
                          <a:r>
                            <a:rPr lang="en-US" sz="1400" dirty="0" err="1" smtClean="0"/>
                            <a:t>PcdPeim</a:t>
                          </a:r>
                          <a:r>
                            <a:rPr lang="en-US" sz="1400" dirty="0" smtClean="0"/>
                            <a:t> driver build </a:t>
                          </a:r>
                          <a:r>
                            <a:rPr lang="en-US" sz="1400" dirty="0" err="1" smtClean="0"/>
                            <a:t>guid</a:t>
                          </a:r>
                          <a:r>
                            <a:rPr lang="en-US" sz="1400" dirty="0" smtClean="0"/>
                            <a:t> hob in temporary memory and copy auto-generated C structure to temporary memory for PEI PCD database.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Content Placeholder 8"/>
                      <a:cNvSpPr>
                        <a:spLocks noGrp="1"/>
                      </a:cNvSpPr>
                    </a:nvSpPr>
                    <a:spPr bwMode="auto">
                      <a:xfrm>
                        <a:off x="245560" y="4460487"/>
                        <a:ext cx="3724273" cy="22413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2075" tIns="46038" rIns="92075" bIns="46038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Times New Roman" pitchFamily="18" charset="0"/>
                            <a:buChar char="–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DXE PCD database is maintained by </a:t>
                          </a:r>
                          <a:r>
                            <a:rPr lang="en-US" sz="1400" dirty="0" err="1" smtClean="0"/>
                            <a:t>PcdDxe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driver.At</a:t>
                          </a:r>
                          <a:r>
                            <a:rPr lang="en-US" sz="1400" dirty="0" smtClean="0"/>
                            <a:t> entry point of </a:t>
                          </a:r>
                          <a:r>
                            <a:rPr lang="en-US" sz="1400" dirty="0" err="1" smtClean="0"/>
                            <a:t>PcdDxe</a:t>
                          </a:r>
                          <a:r>
                            <a:rPr lang="en-US" sz="1400" dirty="0" smtClean="0"/>
                            <a:t> driver, a new PCD database is allocated in boot-time memory which including all PEI PCD and DXE PCD entry.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 bwMode="auto">
                      <a:xfrm>
                        <a:off x="7237141" y="2330604"/>
                        <a:ext cx="1234068" cy="1098395"/>
                      </a:xfrm>
                      <a:prstGeom prst="rect">
                        <a:avLst/>
                      </a:prstGeom>
                      <a:solidFill>
                        <a:srgbClr val="CCECFF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ea typeface="PMingLiU" pitchFamily="18" charset="-120"/>
                            </a:rPr>
                            <a:t>Local</a:t>
                          </a:r>
                          <a:endParaRPr kumimoji="0" lang="en-US" sz="2000" b="1" i="0" u="none" strike="noStrike" cap="none" normalizeH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baseline="0" dirty="0" smtClean="0"/>
                            <a:t>Token </a:t>
                          </a:r>
                        </a:p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baseline="0" dirty="0" smtClean="0"/>
                            <a:t>Number</a:t>
                          </a:r>
                          <a:endParaRPr kumimoji="0" lang="en-US" sz="2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" name="Straight Arrow Connector 14"/>
                      <a:cNvCxnSpPr/>
                    </a:nvCxnSpPr>
                    <a:spPr bwMode="auto">
                      <a:xfrm>
                        <a:off x="3300761" y="2029522"/>
                        <a:ext cx="1271239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008000"/>
                        </a:solidFill>
                        <a:prstDash val="solid"/>
                        <a:round/>
                        <a:headEnd type="none" w="sm" len="sm"/>
                        <a:tailEnd type="arrow"/>
                      </a:ln>
                      <a:effectLst/>
                    </a:spPr>
                  </a:cxnSp>
                  <a:sp>
                    <a:nvSpPr>
                      <a:cNvPr id="17" name="Freeform 16"/>
                      <a:cNvSpPr/>
                    </a:nvSpPr>
                    <a:spPr bwMode="auto">
                      <a:xfrm>
                        <a:off x="5876693" y="1884555"/>
                        <a:ext cx="1326995" cy="613317"/>
                      </a:xfrm>
                      <a:custGeom>
                        <a:avLst/>
                        <a:gdLst>
                          <a:gd name="connsiteX0" fmla="*/ 0 w 1037063"/>
                          <a:gd name="connsiteY0" fmla="*/ 0 h 579864"/>
                          <a:gd name="connsiteX1" fmla="*/ 1037063 w 1037063"/>
                          <a:gd name="connsiteY1" fmla="*/ 579864 h 579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37063" h="579864">
                            <a:moveTo>
                              <a:pt x="0" y="0"/>
                            </a:moveTo>
                            <a:lnTo>
                              <a:pt x="1037063" y="579864"/>
                            </a:lnTo>
                          </a:path>
                        </a:pathLst>
                      </a:cu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008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PMingLiU" pitchFamily="18" charset="-120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ctr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1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PMingLiU" pitchFamily="18" charset="-12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9" name="Straight Connector 18"/>
                      <a:cNvCxnSpPr>
                        <a:endCxn id="3" idx="3"/>
                      </a:cNvCxnSpPr>
                    </a:nvCxnSpPr>
                    <a:spPr bwMode="auto">
                      <a:xfrm rot="10800000" flipV="1">
                        <a:off x="6709310" y="3428999"/>
                        <a:ext cx="1029641" cy="989668"/>
                      </a:xfrm>
                      <a:prstGeom prst="line">
                        <a:avLst/>
                      </a:pr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008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p w:rsidR="0094225A" w:rsidRDefault="0094225A" w:rsidP="00106501">
      <w:pPr>
        <w:spacing w:line="168" w:lineRule="auto"/>
      </w:pPr>
      <w:r>
        <w:t xml:space="preserve">    </w:t>
      </w:r>
    </w:p>
    <w:p w:rsidR="0094225A" w:rsidRDefault="0094225A" w:rsidP="0094225A">
      <w:r>
        <w:t xml:space="preserve">      3.2.1 Pair of Token space </w:t>
      </w:r>
      <w:proofErr w:type="spellStart"/>
      <w:r>
        <w:t>guid</w:t>
      </w:r>
      <w:proofErr w:type="spellEnd"/>
      <w:r>
        <w:t xml:space="preserve"> + Token number</w:t>
      </w:r>
    </w:p>
    <w:p w:rsidR="0094225A" w:rsidRDefault="0094225A" w:rsidP="0094225A">
      <w:r>
        <w:t xml:space="preserve">        Any type PCD is identified by pair of "</w:t>
      </w:r>
      <w:proofErr w:type="spellStart"/>
      <w:r>
        <w:t>TokenSpaceGuid</w:t>
      </w:r>
      <w:proofErr w:type="spellEnd"/>
      <w:r>
        <w:t xml:space="preserve"> + </w:t>
      </w:r>
      <w:proofErr w:type="spellStart"/>
      <w:r>
        <w:t>TokeNumber</w:t>
      </w:r>
      <w:proofErr w:type="spellEnd"/>
      <w:r>
        <w:t xml:space="preserve">". But it is not easy maintained by PCD driver, and hashed token number will make searching slowly. </w:t>
      </w:r>
    </w:p>
    <w:p w:rsidR="0094225A" w:rsidRDefault="0094225A" w:rsidP="0094225A"/>
    <w:p w:rsidR="0094225A" w:rsidRDefault="0094225A" w:rsidP="0094225A">
      <w:r>
        <w:t xml:space="preserve">      3.2.2 Platform Token Number</w:t>
      </w:r>
    </w:p>
    <w:p w:rsidR="00E774F3" w:rsidRDefault="0094225A" w:rsidP="0094225A">
      <w:r>
        <w:t xml:space="preserve">        "Platform token number" concept is introduced for mapping to a pair of "</w:t>
      </w:r>
      <w:proofErr w:type="spellStart"/>
      <w:r>
        <w:t>TokenSpaceGuid</w:t>
      </w:r>
      <w:proofErr w:type="spellEnd"/>
      <w:r>
        <w:t xml:space="preserve"> + </w:t>
      </w:r>
      <w:proofErr w:type="spellStart"/>
      <w:r>
        <w:t>TokenNumber</w:t>
      </w:r>
      <w:proofErr w:type="spellEnd"/>
      <w:r>
        <w:t xml:space="preserve">". The platform token number is generated by build tool in </w:t>
      </w:r>
      <w:proofErr w:type="spellStart"/>
      <w:r>
        <w:t>autogen.h</w:t>
      </w:r>
      <w:proofErr w:type="spellEnd"/>
      <w:r>
        <w:t xml:space="preserve"> and all of them are continual in a platform scope started from 1</w:t>
      </w:r>
      <w:proofErr w:type="gramStart"/>
      <w:r>
        <w:t>.(</w:t>
      </w:r>
      <w:proofErr w:type="gramEnd"/>
      <w:r>
        <w:t xml:space="preserve">0 meaning invalid internal token number) With auto-generated "platform token number", </w:t>
      </w:r>
      <w:proofErr w:type="spellStart"/>
      <w:r>
        <w:t>PcdGet</w:t>
      </w:r>
      <w:proofErr w:type="spellEnd"/>
      <w:r>
        <w:t>(</w:t>
      </w:r>
      <w:proofErr w:type="spellStart"/>
      <w:r>
        <w:t>PcdSampleDynamicPcd</w:t>
      </w:r>
      <w:proofErr w:type="spellEnd"/>
      <w:r>
        <w:t xml:space="preserve">)  in source code is translated to </w:t>
      </w:r>
      <w:proofErr w:type="spellStart"/>
      <w:r>
        <w:t>LibPcdGet</w:t>
      </w:r>
      <w:proofErr w:type="spellEnd"/>
      <w:r>
        <w:t>(_</w:t>
      </w:r>
      <w:proofErr w:type="spellStart"/>
      <w:r>
        <w:t>PCD_TOKEN_PcdSampleDynamicPcd</w:t>
      </w:r>
      <w:proofErr w:type="spellEnd"/>
      <w:r>
        <w:t xml:space="preserve">)  in </w:t>
      </w:r>
      <w:proofErr w:type="spellStart"/>
      <w:r>
        <w:t>autogen.h</w:t>
      </w:r>
      <w:proofErr w:type="spellEnd"/>
      <w:r>
        <w:t>.</w:t>
      </w:r>
    </w:p>
    <w:p w:rsidR="00E774F3" w:rsidRDefault="00E774F3" w:rsidP="0094225A"/>
    <w:p w:rsidR="0094225A" w:rsidRDefault="0094225A" w:rsidP="0094225A">
      <w:r>
        <w:t xml:space="preserve">      Notes: The mapping between pair of "</w:t>
      </w:r>
      <w:proofErr w:type="spellStart"/>
      <w:r>
        <w:t>tokenspace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+ token number" and "internal token number" need build tool establish, so "platform token number" mechanism is not suitable for binary module which use </w:t>
      </w:r>
      <w:proofErr w:type="spellStart"/>
      <w:r>
        <w:t>DynamicEx</w:t>
      </w:r>
      <w:proofErr w:type="spellEnd"/>
      <w:r>
        <w:t xml:space="preserve"> type PCD.  To access a </w:t>
      </w:r>
      <w:proofErr w:type="spellStart"/>
      <w:r>
        <w:t>dynamicEx</w:t>
      </w:r>
      <w:proofErr w:type="spellEnd"/>
      <w:r>
        <w:t xml:space="preserve"> type PCD, pair of "token space </w:t>
      </w:r>
      <w:proofErr w:type="spellStart"/>
      <w:r>
        <w:t>guid</w:t>
      </w:r>
      <w:proofErr w:type="spellEnd"/>
      <w:r>
        <w:t xml:space="preserve">/token number" all need to be </w:t>
      </w:r>
      <w:proofErr w:type="spellStart"/>
      <w:r>
        <w:t>specificed</w:t>
      </w:r>
      <w:proofErr w:type="spellEnd"/>
      <w:r>
        <w:t xml:space="preserve"> for </w:t>
      </w:r>
      <w:proofErr w:type="spellStart"/>
      <w:r>
        <w:t>PcdSet</w:t>
      </w:r>
      <w:proofErr w:type="spellEnd"/>
      <w:r>
        <w:t>/</w:t>
      </w:r>
      <w:proofErr w:type="spellStart"/>
      <w:r>
        <w:t>PcdGet</w:t>
      </w:r>
      <w:proofErr w:type="spellEnd"/>
      <w:r>
        <w:t xml:space="preserve"> accessing macro.</w:t>
      </w:r>
    </w:p>
    <w:p w:rsidR="0094225A" w:rsidRDefault="0094225A" w:rsidP="0094225A">
      <w:r>
        <w:t xml:space="preserve">      </w:t>
      </w:r>
    </w:p>
    <w:p w:rsidR="00E774F3" w:rsidRDefault="0094225A" w:rsidP="00E774F3">
      <w:r>
        <w:t xml:space="preserve"> Platform Token Number is started from </w:t>
      </w:r>
      <w:proofErr w:type="gramStart"/>
      <w:r>
        <w:t>1,</w:t>
      </w:r>
      <w:proofErr w:type="gramEnd"/>
      <w:r>
        <w:t xml:space="preserve"> and </w:t>
      </w:r>
      <w:proofErr w:type="spellStart"/>
      <w:r>
        <w:t>inceased</w:t>
      </w:r>
      <w:proofErr w:type="spellEnd"/>
      <w:r>
        <w:t xml:space="preserve"> continuous. From whole platform scope, there are two zones: PEI Zone and DXE Zone</w:t>
      </w:r>
    </w:p>
    <w:p w:rsidR="00E774F3" w:rsidRDefault="00E774F3" w:rsidP="00E774F3">
      <w:pPr>
        <w:rPr>
          <w:rFonts w:ascii="Courier New" w:hAnsi="Courier New" w:cs="Courier New"/>
        </w:rPr>
      </w:pPr>
    </w:p>
    <w:p w:rsidR="00E774F3" w:rsidRDefault="00E774F3" w:rsidP="00E774F3">
      <w:pPr>
        <w:rPr>
          <w:rFonts w:ascii="Courier New" w:hAnsi="Courier New" w:cs="Courier New"/>
        </w:rPr>
      </w:pPr>
    </w:p>
    <w:p w:rsidR="00E774F3" w:rsidRDefault="00E774F3" w:rsidP="00E774F3">
      <w:pPr>
        <w:rPr>
          <w:rFonts w:ascii="Courier New" w:hAnsi="Courier New" w:cs="Courier New"/>
        </w:rPr>
      </w:pPr>
    </w:p>
    <w:p w:rsidR="0094225A" w:rsidRPr="0094225A" w:rsidRDefault="0094225A" w:rsidP="00E774F3">
      <w:pPr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Platform Token Number</w:t>
      </w:r>
    </w:p>
    <w:p w:rsidR="0094225A" w:rsidRPr="0094225A" w:rsidRDefault="0094225A" w:rsidP="001E014A">
      <w:pPr>
        <w:ind w:left="-99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>----------|----------------------------------------------------------------</w:t>
      </w:r>
    </w:p>
    <w:p w:rsidR="0094225A" w:rsidRPr="0094225A" w:rsidRDefault="0094225A" w:rsidP="001E014A">
      <w:pPr>
        <w:ind w:left="-99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PEI Zone: |            1                 </w:t>
      </w:r>
      <w:proofErr w:type="gramStart"/>
      <w:r w:rsidRPr="0094225A">
        <w:rPr>
          <w:rFonts w:ascii="Courier New" w:hAnsi="Courier New" w:cs="Courier New"/>
        </w:rPr>
        <w:t>~  PEI</w:t>
      </w:r>
      <w:proofErr w:type="gramEnd"/>
      <w:r w:rsidRPr="0094225A">
        <w:rPr>
          <w:rFonts w:ascii="Courier New" w:hAnsi="Courier New" w:cs="Courier New"/>
        </w:rPr>
        <w:t>_LOCAL_TOKEN_NUMBER</w:t>
      </w:r>
    </w:p>
    <w:p w:rsidR="0094225A" w:rsidRPr="0094225A" w:rsidRDefault="0094225A" w:rsidP="001E014A">
      <w:pPr>
        <w:ind w:left="-99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DXE Zone: | (PEI_LOCAL_TOKEN_NUMBER + 1) ~ (PEI_LOCAL_TOKEN_NUMBER + </w:t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</w:r>
      <w:r w:rsidR="00981CD4">
        <w:rPr>
          <w:rFonts w:ascii="Courier New" w:hAnsi="Courier New" w:cs="Courier New"/>
        </w:rPr>
        <w:tab/>
        <w:t xml:space="preserve">   </w:t>
      </w:r>
      <w:r w:rsidRPr="0094225A">
        <w:rPr>
          <w:rFonts w:ascii="Courier New" w:hAnsi="Courier New" w:cs="Courier New"/>
        </w:rPr>
        <w:t>DXE_LOCAL_TOKEN_NUMBER)</w:t>
      </w:r>
    </w:p>
    <w:p w:rsidR="0094225A" w:rsidRDefault="0094225A" w:rsidP="001E014A">
      <w:pPr>
        <w:ind w:left="-990"/>
      </w:pPr>
      <w:r>
        <w:t xml:space="preserve">        </w:t>
      </w:r>
    </w:p>
    <w:p w:rsidR="0094225A" w:rsidRDefault="0094225A" w:rsidP="0094225A">
      <w:r>
        <w:t xml:space="preserve">      3.2.3 Local Token Number</w:t>
      </w:r>
    </w:p>
    <w:p w:rsidR="0094225A" w:rsidRDefault="0094225A" w:rsidP="0094225A">
      <w:r>
        <w:t xml:space="preserve">        To fast searching a PCD entry in PCD database, PCD driver translate platform token number to local token number via a mapping table.</w:t>
      </w:r>
    </w:p>
    <w:p w:rsidR="0094225A" w:rsidRDefault="0094225A" w:rsidP="0094225A">
      <w:r>
        <w:t xml:space="preserve">        For binary </w:t>
      </w:r>
      <w:proofErr w:type="spellStart"/>
      <w:r>
        <w:t>DynamicEx</w:t>
      </w:r>
      <w:proofErr w:type="spellEnd"/>
      <w:r>
        <w:t xml:space="preserve"> type PCD, there is </w:t>
      </w:r>
      <w:proofErr w:type="gramStart"/>
      <w:r>
        <w:t>a another</w:t>
      </w:r>
      <w:proofErr w:type="gramEnd"/>
      <w:r>
        <w:t xml:space="preserve"> mapping table to translate</w:t>
      </w:r>
      <w:r w:rsidR="00E774F3">
        <w:t xml:space="preserve"> </w:t>
      </w:r>
      <w:r>
        <w:t xml:space="preserve">token space </w:t>
      </w:r>
      <w:proofErr w:type="spellStart"/>
      <w:r>
        <w:t>guid</w:t>
      </w:r>
      <w:proofErr w:type="spellEnd"/>
      <w:r>
        <w:t xml:space="preserve"> + token number" to local token number </w:t>
      </w:r>
      <w:proofErr w:type="spellStart"/>
      <w:r>
        <w:t>directly.Local</w:t>
      </w:r>
      <w:proofErr w:type="spellEnd"/>
      <w:r>
        <w:t xml:space="preserve"> token number is identifier for all internal interface in PCD PEI/DXE driver.</w:t>
      </w:r>
    </w:p>
    <w:p w:rsidR="0094225A" w:rsidRDefault="0094225A" w:rsidP="0094225A">
      <w:r>
        <w:t xml:space="preserve">        </w:t>
      </w:r>
    </w:p>
    <w:p w:rsidR="00515DAA" w:rsidRDefault="00515DAA" w:rsidP="0094225A"/>
    <w:p w:rsidR="00515DAA" w:rsidRDefault="00515DAA" w:rsidP="0094225A"/>
    <w:p w:rsidR="0094225A" w:rsidRPr="0094225A" w:rsidRDefault="0094225A" w:rsidP="0094225A">
      <w:pPr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A local token number is a 32-bit value in following meaning:</w:t>
      </w:r>
    </w:p>
    <w:p w:rsidR="0094225A" w:rsidRPr="0094225A" w:rsidRDefault="0094225A" w:rsidP="0094225A">
      <w:pPr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32 ------------- 28 ---------- 24 -------- 0</w:t>
      </w:r>
    </w:p>
    <w:p w:rsidR="0094225A" w:rsidRPr="0094225A" w:rsidRDefault="0094225A" w:rsidP="0094225A">
      <w:pPr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| PCD type </w:t>
      </w:r>
      <w:proofErr w:type="gramStart"/>
      <w:r w:rsidRPr="0094225A">
        <w:rPr>
          <w:rFonts w:ascii="Courier New" w:hAnsi="Courier New" w:cs="Courier New"/>
        </w:rPr>
        <w:t>mask  |</w:t>
      </w:r>
      <w:proofErr w:type="gramEnd"/>
      <w:r w:rsidRPr="0094225A">
        <w:rPr>
          <w:rFonts w:ascii="Courier New" w:hAnsi="Courier New" w:cs="Courier New"/>
        </w:rPr>
        <w:t xml:space="preserve"> Datum Type  |  Offset  |</w:t>
      </w:r>
    </w:p>
    <w:p w:rsidR="0094225A" w:rsidRPr="0094225A" w:rsidRDefault="0094225A" w:rsidP="0094225A">
      <w:pPr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+-----------------------------------------+</w:t>
      </w:r>
    </w:p>
    <w:p w:rsidR="00E774F3" w:rsidRDefault="0094225A" w:rsidP="0094225A">
      <w:r>
        <w:t xml:space="preserve"> </w:t>
      </w:r>
    </w:p>
    <w:p w:rsidR="0094225A" w:rsidRDefault="0094225A" w:rsidP="0094225A">
      <w:r>
        <w:t xml:space="preserve">       </w:t>
      </w:r>
      <w:proofErr w:type="gramStart"/>
      <w:r>
        <w:t>where</w:t>
      </w:r>
      <w:proofErr w:type="gramEnd"/>
      <w:r>
        <w:t>:</w:t>
      </w:r>
    </w:p>
    <w:p w:rsidR="0094225A" w:rsidRDefault="0094225A" w:rsidP="0094225A">
      <w:r>
        <w:t xml:space="preserve">          </w:t>
      </w:r>
      <w:proofErr w:type="spellStart"/>
      <w:r>
        <w:t>PCd</w:t>
      </w:r>
      <w:proofErr w:type="spellEnd"/>
      <w:r>
        <w:t xml:space="preserve"> type mask: indicate </w:t>
      </w:r>
      <w:proofErr w:type="spellStart"/>
      <w:r>
        <w:t>Pcd</w:t>
      </w:r>
      <w:proofErr w:type="spellEnd"/>
      <w:r>
        <w:t xml:space="preserve"> type from following macro:</w:t>
      </w:r>
    </w:p>
    <w:p w:rsidR="0094225A" w:rsidRDefault="0094225A" w:rsidP="0094225A">
      <w:r>
        <w:t xml:space="preserve">                         PCD_TYPE_DATA</w:t>
      </w:r>
    </w:p>
    <w:p w:rsidR="0094225A" w:rsidRDefault="0094225A" w:rsidP="0094225A">
      <w:r>
        <w:t xml:space="preserve">                         PCD_TYPE_HII</w:t>
      </w:r>
    </w:p>
    <w:p w:rsidR="0094225A" w:rsidRDefault="0094225A" w:rsidP="0094225A">
      <w:r>
        <w:t xml:space="preserve">                         PCD_TYPE_VPD</w:t>
      </w:r>
    </w:p>
    <w:p w:rsidR="0094225A" w:rsidRDefault="0094225A" w:rsidP="0094225A">
      <w:r>
        <w:t xml:space="preserve">                         PCD_TYPE_SKU_ENABLED</w:t>
      </w:r>
    </w:p>
    <w:p w:rsidR="0094225A" w:rsidRDefault="0094225A" w:rsidP="0094225A">
      <w:r>
        <w:t xml:space="preserve">                         PCD_TYPE_STRING</w:t>
      </w:r>
    </w:p>
    <w:p w:rsidR="0094225A" w:rsidRDefault="0094225A" w:rsidP="0094225A">
      <w:r>
        <w:t xml:space="preserve">          Datum Type   : indicate PCD </w:t>
      </w:r>
      <w:proofErr w:type="spellStart"/>
      <w:r>
        <w:t>vaue</w:t>
      </w:r>
      <w:proofErr w:type="spellEnd"/>
      <w:r>
        <w:t xml:space="preserve"> type from following macro:</w:t>
      </w:r>
    </w:p>
    <w:p w:rsidR="0094225A" w:rsidRDefault="0094225A" w:rsidP="0094225A">
      <w:r>
        <w:t xml:space="preserve">                         PCD_DATUM_TYPE_POINTER</w:t>
      </w:r>
    </w:p>
    <w:p w:rsidR="0094225A" w:rsidRDefault="0094225A" w:rsidP="0094225A">
      <w:r>
        <w:t xml:space="preserve">                         PCD_DATUM_TYPE_UINT8</w:t>
      </w:r>
    </w:p>
    <w:p w:rsidR="0094225A" w:rsidRDefault="0094225A" w:rsidP="0094225A">
      <w:r>
        <w:t xml:space="preserve">                         PCD_DATUM_TYPE_UINT16</w:t>
      </w:r>
    </w:p>
    <w:p w:rsidR="0094225A" w:rsidRDefault="0094225A" w:rsidP="0094225A">
      <w:r>
        <w:t xml:space="preserve">                         PCD_DATUM_TYPE_UINT32</w:t>
      </w:r>
    </w:p>
    <w:p w:rsidR="0094225A" w:rsidRDefault="0094225A" w:rsidP="0094225A">
      <w:r>
        <w:t xml:space="preserve">                         PCD_DATUM_TYPE_UINT64</w:t>
      </w:r>
    </w:p>
    <w:p w:rsidR="0094225A" w:rsidRDefault="0094225A" w:rsidP="0094225A">
      <w:r>
        <w:t xml:space="preserve">          Offset      : indicate the related offset of PCD value in PCD database array.</w:t>
      </w:r>
    </w:p>
    <w:p w:rsidR="0094225A" w:rsidRDefault="0094225A" w:rsidP="0094225A">
      <w:r>
        <w:t xml:space="preserve">       Based on local token number, PCD driver could fast determine PCD type, value type and get PCD entry from PCD database.</w:t>
      </w:r>
    </w:p>
    <w:p w:rsidR="0094225A" w:rsidRDefault="0094225A" w:rsidP="0094225A">
      <w:r>
        <w:t xml:space="preserve">       </w:t>
      </w:r>
    </w:p>
    <w:p w:rsidR="0094225A" w:rsidRDefault="0094225A" w:rsidP="0094225A">
      <w:r>
        <w:t xml:space="preserve">    3.3 PCD Database C structure.</w:t>
      </w:r>
    </w:p>
    <w:p w:rsidR="00515DAA" w:rsidRDefault="0094225A" w:rsidP="0094225A">
      <w:r>
        <w:t xml:space="preserve">      PCD Database C structure is generated by build tools in PCD driver's </w:t>
      </w:r>
      <w:proofErr w:type="spellStart"/>
      <w:r>
        <w:t>autogen.h</w:t>
      </w:r>
      <w:proofErr w:type="spellEnd"/>
      <w:r>
        <w:t>/</w:t>
      </w:r>
      <w:proofErr w:type="spellStart"/>
      <w:r>
        <w:t>autogen.c</w:t>
      </w:r>
      <w:proofErr w:type="spellEnd"/>
      <w:r>
        <w:t xml:space="preserve"> file. In generated C structure, following information is stored:</w:t>
      </w:r>
    </w:p>
    <w:p w:rsidR="0094225A" w:rsidRDefault="00515DAA" w:rsidP="0094225A">
      <w:r>
        <w:t xml:space="preserve">   </w:t>
      </w:r>
      <w:r w:rsidR="0094225A">
        <w:t xml:space="preserve">   - </w:t>
      </w:r>
      <w:proofErr w:type="spellStart"/>
      <w:r w:rsidR="0094225A">
        <w:t>ExMapTable</w:t>
      </w:r>
      <w:proofErr w:type="spellEnd"/>
      <w:r w:rsidR="0094225A">
        <w:t xml:space="preserve">: This table is used translate a binary </w:t>
      </w:r>
      <w:proofErr w:type="spellStart"/>
      <w:r w:rsidR="0094225A">
        <w:t>dynamicex</w:t>
      </w:r>
      <w:proofErr w:type="spellEnd"/>
      <w:r w:rsidR="0094225A">
        <w:t xml:space="preserve"> type PCD's "</w:t>
      </w:r>
      <w:proofErr w:type="spellStart"/>
      <w:r w:rsidR="0094225A">
        <w:t>tokenguid</w:t>
      </w:r>
      <w:proofErr w:type="spellEnd"/>
      <w:r w:rsidR="0094225A">
        <w:t xml:space="preserve"> + token" to local token number.</w:t>
      </w:r>
    </w:p>
    <w:p w:rsidR="0094225A" w:rsidRDefault="0094225A" w:rsidP="0094225A">
      <w:r>
        <w:t xml:space="preserve">      - </w:t>
      </w:r>
      <w:proofErr w:type="spellStart"/>
      <w:r>
        <w:t>LocalTokenNumberTable</w:t>
      </w:r>
      <w:proofErr w:type="spellEnd"/>
      <w:r>
        <w:t xml:space="preserve">: This table stores all local token number in array, use "Internal token number" as array index to get PCD entry's offset </w:t>
      </w:r>
      <w:proofErr w:type="spellStart"/>
      <w:r>
        <w:t>fastly</w:t>
      </w:r>
      <w:proofErr w:type="spellEnd"/>
      <w:r>
        <w:t>.</w:t>
      </w:r>
    </w:p>
    <w:p w:rsidR="0094225A" w:rsidRDefault="0094225A" w:rsidP="0094225A">
      <w:r>
        <w:t xml:space="preserve">      - </w:t>
      </w:r>
      <w:proofErr w:type="spellStart"/>
      <w:r>
        <w:t>SizeTable</w:t>
      </w:r>
      <w:proofErr w:type="spellEnd"/>
      <w:r>
        <w:t>:  This table stores the size information for all PCD entry.</w:t>
      </w:r>
    </w:p>
    <w:p w:rsidR="0094225A" w:rsidRDefault="0094225A" w:rsidP="0094225A">
      <w:r>
        <w:lastRenderedPageBreak/>
        <w:t xml:space="preserve">      - </w:t>
      </w:r>
      <w:proofErr w:type="spellStart"/>
      <w:r>
        <w:t>GuidTable</w:t>
      </w:r>
      <w:proofErr w:type="spellEnd"/>
      <w:r>
        <w:t xml:space="preserve">:  This table stores </w:t>
      </w:r>
      <w:proofErr w:type="spellStart"/>
      <w:r>
        <w:t>guid</w:t>
      </w:r>
      <w:proofErr w:type="spellEnd"/>
      <w:r>
        <w:t xml:space="preserve"> value for </w:t>
      </w:r>
      <w:proofErr w:type="spellStart"/>
      <w:r>
        <w:t>DynamicEx's</w:t>
      </w:r>
      <w:proofErr w:type="spellEnd"/>
      <w:r>
        <w:t xml:space="preserve"> token space, HII type PCD's variable.</w:t>
      </w:r>
    </w:p>
    <w:p w:rsidR="0094225A" w:rsidRDefault="0094225A" w:rsidP="0094225A">
      <w:r>
        <w:t xml:space="preserve">      - </w:t>
      </w:r>
      <w:proofErr w:type="spellStart"/>
      <w:r>
        <w:t>SkuIdTable</w:t>
      </w:r>
      <w:proofErr w:type="spellEnd"/>
      <w:r>
        <w:t>: TBD</w:t>
      </w:r>
    </w:p>
    <w:p w:rsidR="0094225A" w:rsidRDefault="0094225A" w:rsidP="0094225A">
      <w:r>
        <w:t xml:space="preserve">      - </w:t>
      </w:r>
      <w:proofErr w:type="spellStart"/>
      <w:r>
        <w:t>SystemSkuId</w:t>
      </w:r>
      <w:proofErr w:type="spellEnd"/>
      <w:r>
        <w:t>: TBD</w:t>
      </w:r>
    </w:p>
    <w:p w:rsidR="0094225A" w:rsidRDefault="0094225A" w:rsidP="0094225A">
      <w:r>
        <w:t xml:space="preserve">      - PCD value structure:  </w:t>
      </w:r>
      <w:r w:rsidR="00515DAA">
        <w:t>E</w:t>
      </w:r>
      <w:r>
        <w:t>very PCD has a value record in PCD database. For different datum type PCD has different record structure which will be introduced in 3.3.1</w:t>
      </w:r>
    </w:p>
    <w:p w:rsidR="0094225A" w:rsidRDefault="0094225A" w:rsidP="0094225A">
      <w:r>
        <w:t xml:space="preserve">      </w:t>
      </w:r>
    </w:p>
    <w:p w:rsidR="0094225A" w:rsidRDefault="0094225A" w:rsidP="0094225A">
      <w:r>
        <w:t xml:space="preserve">      In a PCD database structure, there are two major </w:t>
      </w:r>
      <w:proofErr w:type="gramStart"/>
      <w:r>
        <w:t>area</w:t>
      </w:r>
      <w:proofErr w:type="gramEnd"/>
      <w:r>
        <w:t xml:space="preserve">: Init and </w:t>
      </w:r>
      <w:proofErr w:type="spellStart"/>
      <w:r>
        <w:t>UnInit</w:t>
      </w:r>
      <w:proofErr w:type="spellEnd"/>
      <w:r>
        <w:t xml:space="preserve">. </w:t>
      </w:r>
    </w:p>
    <w:p w:rsidR="0094225A" w:rsidRDefault="0094225A" w:rsidP="0094225A">
      <w:r>
        <w:t xml:space="preserve">      Init area is use stored above PCD internal structure such as </w:t>
      </w:r>
      <w:proofErr w:type="spellStart"/>
      <w:r>
        <w:t>ExMapTable</w:t>
      </w:r>
      <w:proofErr w:type="spellEnd"/>
      <w:r>
        <w:t xml:space="preserve">, </w:t>
      </w:r>
    </w:p>
    <w:p w:rsidR="0094225A" w:rsidRDefault="0094225A" w:rsidP="0094225A">
      <w:r>
        <w:t xml:space="preserve">      </w:t>
      </w:r>
      <w:proofErr w:type="spellStart"/>
      <w:r>
        <w:t>LocalTokenNumberTable</w:t>
      </w:r>
      <w:proofErr w:type="spellEnd"/>
      <w:r>
        <w:t xml:space="preserve"> etc and the (default) value of PCD which has default </w:t>
      </w:r>
    </w:p>
    <w:p w:rsidR="0094225A" w:rsidRDefault="0094225A" w:rsidP="0094225A">
      <w:r>
        <w:t xml:space="preserve">      </w:t>
      </w:r>
      <w:proofErr w:type="gramStart"/>
      <w:r>
        <w:t>value</w:t>
      </w:r>
      <w:proofErr w:type="gramEnd"/>
      <w:r>
        <w:t xml:space="preserve"> specified in platform DSC file.</w:t>
      </w:r>
    </w:p>
    <w:p w:rsidR="0094225A" w:rsidRDefault="0094225A" w:rsidP="0094225A">
      <w:r>
        <w:t xml:space="preserve">      </w:t>
      </w:r>
      <w:proofErr w:type="spellStart"/>
      <w:r>
        <w:t>Unint</w:t>
      </w:r>
      <w:proofErr w:type="spellEnd"/>
      <w:r>
        <w:t xml:space="preserve"> area is used stored the value of PCD which has no default value in</w:t>
      </w:r>
    </w:p>
    <w:p w:rsidR="0094225A" w:rsidRDefault="0094225A" w:rsidP="0094225A">
      <w:r>
        <w:t xml:space="preserve">      </w:t>
      </w:r>
      <w:proofErr w:type="gramStart"/>
      <w:r>
        <w:t>platform</w:t>
      </w:r>
      <w:proofErr w:type="gramEnd"/>
      <w:r>
        <w:t xml:space="preserve"> DSC file, the value of NULL, 0 specified in platform DSC file can</w:t>
      </w:r>
    </w:p>
    <w:p w:rsidR="0094225A" w:rsidRDefault="0094225A" w:rsidP="0094225A">
      <w:r>
        <w:t xml:space="preserve">      </w:t>
      </w:r>
      <w:proofErr w:type="gramStart"/>
      <w:r>
        <w:t>be</w:t>
      </w:r>
      <w:proofErr w:type="gramEnd"/>
      <w:r>
        <w:t xml:space="preserve"> seemed as "no default value".</w:t>
      </w:r>
    </w:p>
    <w:p w:rsidR="0094225A" w:rsidRDefault="0094225A" w:rsidP="0094225A">
      <w:r>
        <w:t xml:space="preserve">      </w:t>
      </w:r>
    </w:p>
    <w:p w:rsidR="0094225A" w:rsidRDefault="0094225A" w:rsidP="0094225A">
      <w:r>
        <w:t xml:space="preserve">      3.3.1 Simple Sample PCD Database C Structure</w:t>
      </w:r>
    </w:p>
    <w:p w:rsidR="0094225A" w:rsidRDefault="0094225A" w:rsidP="0094225A">
      <w:r>
        <w:t xml:space="preserve">        A general sample of PCD database </w:t>
      </w:r>
      <w:proofErr w:type="spellStart"/>
      <w:r>
        <w:t>structue</w:t>
      </w:r>
      <w:proofErr w:type="spellEnd"/>
      <w:r>
        <w:t xml:space="preserve"> is as follows:</w:t>
      </w:r>
    </w:p>
    <w:p w:rsidR="0094225A" w:rsidRPr="0094225A" w:rsidRDefault="001E014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94225A" w:rsidRPr="0094225A">
        <w:rPr>
          <w:rFonts w:ascii="Courier New" w:hAnsi="Courier New" w:cs="Courier New"/>
        </w:rPr>
        <w:t>typedef</w:t>
      </w:r>
      <w:proofErr w:type="spellEnd"/>
      <w:proofErr w:type="gramEnd"/>
      <w:r w:rsidR="0094225A" w:rsidRPr="0094225A">
        <w:rPr>
          <w:rFonts w:ascii="Courier New" w:hAnsi="Courier New" w:cs="Courier New"/>
        </w:rPr>
        <w:t xml:space="preserve"> </w:t>
      </w:r>
      <w:proofErr w:type="spellStart"/>
      <w:r w:rsidR="0094225A" w:rsidRPr="0094225A">
        <w:rPr>
          <w:rFonts w:ascii="Courier New" w:hAnsi="Courier New" w:cs="Courier New"/>
        </w:rPr>
        <w:t>struct</w:t>
      </w:r>
      <w:proofErr w:type="spellEnd"/>
      <w:r w:rsidR="0094225A" w:rsidRPr="0094225A">
        <w:rPr>
          <w:rFonts w:ascii="Courier New" w:hAnsi="Courier New" w:cs="Courier New"/>
        </w:rPr>
        <w:t xml:space="preserve"> _PCD_DATABASE {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4225A">
        <w:rPr>
          <w:rFonts w:ascii="Courier New" w:hAnsi="Courier New" w:cs="Courier New"/>
        </w:rPr>
        <w:t>typedef</w:t>
      </w:r>
      <w:proofErr w:type="spellEnd"/>
      <w:proofErr w:type="gramEnd"/>
      <w:r w:rsidRPr="0094225A">
        <w:rPr>
          <w:rFonts w:ascii="Courier New" w:hAnsi="Courier New" w:cs="Courier New"/>
        </w:rPr>
        <w:t xml:space="preserve"> </w:t>
      </w:r>
      <w:proofErr w:type="spellStart"/>
      <w:r w:rsidRPr="0094225A">
        <w:rPr>
          <w:rFonts w:ascii="Courier New" w:hAnsi="Courier New" w:cs="Courier New"/>
        </w:rPr>
        <w:t>struct</w:t>
      </w:r>
      <w:proofErr w:type="spellEnd"/>
      <w:r w:rsidRPr="0094225A">
        <w:rPr>
          <w:rFonts w:ascii="Courier New" w:hAnsi="Courier New" w:cs="Courier New"/>
        </w:rPr>
        <w:t xml:space="preserve"> _PCD_DATABASE_INIT {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//===== Following is PCD database internal </w:t>
      </w:r>
      <w:r>
        <w:rPr>
          <w:rFonts w:ascii="Courier New" w:hAnsi="Courier New" w:cs="Courier New"/>
        </w:rPr>
        <w:t>m</w:t>
      </w:r>
      <w:r w:rsidRPr="0094225A">
        <w:rPr>
          <w:rFonts w:ascii="Courier New" w:hAnsi="Courier New" w:cs="Courier New"/>
        </w:rPr>
        <w:t>aintain structures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DYNAMICEX_MAPPING </w:t>
      </w:r>
      <w:proofErr w:type="spellStart"/>
      <w:proofErr w:type="gramStart"/>
      <w:r w:rsidRPr="0094225A">
        <w:rPr>
          <w:rFonts w:ascii="Courier New" w:hAnsi="Courier New" w:cs="Courier New"/>
        </w:rPr>
        <w:t>ExMapTable</w:t>
      </w:r>
      <w:proofErr w:type="spellEnd"/>
      <w:r w:rsidRPr="0094225A">
        <w:rPr>
          <w:rFonts w:ascii="Courier New" w:hAnsi="Courier New" w:cs="Courier New"/>
        </w:rPr>
        <w:t>[</w:t>
      </w:r>
      <w:proofErr w:type="gramEnd"/>
      <w:r w:rsidRPr="0094225A">
        <w:rPr>
          <w:rFonts w:ascii="Courier New" w:hAnsi="Courier New" w:cs="Courier New"/>
        </w:rPr>
        <w:t>PEI_EXMAPPING_TABLE_SIZE];</w:t>
      </w:r>
    </w:p>
    <w:p w:rsidR="0094225A" w:rsidRPr="0094225A" w:rsidRDefault="001E014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A04A1D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INT32 </w:t>
      </w:r>
      <w:proofErr w:type="spellStart"/>
      <w:proofErr w:type="gramStart"/>
      <w:r w:rsidR="0094225A" w:rsidRPr="0094225A">
        <w:rPr>
          <w:rFonts w:ascii="Courier New" w:hAnsi="Courier New" w:cs="Courier New"/>
        </w:rPr>
        <w:t>LocalTokenNumberTable</w:t>
      </w:r>
      <w:proofErr w:type="spellEnd"/>
      <w:r w:rsidR="0094225A" w:rsidRPr="0094225A">
        <w:rPr>
          <w:rFonts w:ascii="Courier New" w:hAnsi="Courier New" w:cs="Courier New"/>
        </w:rPr>
        <w:t>[</w:t>
      </w:r>
      <w:proofErr w:type="gramEnd"/>
      <w:r w:rsidR="0094225A" w:rsidRPr="0094225A">
        <w:rPr>
          <w:rFonts w:ascii="Courier New" w:hAnsi="Courier New" w:cs="Courier New"/>
        </w:rPr>
        <w:t>PEI_LOCAL_TOKEN_NUMBER_TABLE_SIZE];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GUID              </w:t>
      </w:r>
      <w:proofErr w:type="spellStart"/>
      <w:proofErr w:type="gramStart"/>
      <w:r w:rsidRPr="0094225A">
        <w:rPr>
          <w:rFonts w:ascii="Courier New" w:hAnsi="Courier New" w:cs="Courier New"/>
        </w:rPr>
        <w:t>GuidTable</w:t>
      </w:r>
      <w:proofErr w:type="spellEnd"/>
      <w:r w:rsidRPr="0094225A">
        <w:rPr>
          <w:rFonts w:ascii="Courier New" w:hAnsi="Courier New" w:cs="Courier New"/>
        </w:rPr>
        <w:t>[</w:t>
      </w:r>
      <w:proofErr w:type="gramEnd"/>
      <w:r w:rsidRPr="0094225A">
        <w:rPr>
          <w:rFonts w:ascii="Courier New" w:hAnsi="Courier New" w:cs="Courier New"/>
        </w:rPr>
        <w:t>PEI_GUID_TABLE_SIZE];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SIZE_INFO         </w:t>
      </w:r>
      <w:proofErr w:type="spellStart"/>
      <w:proofErr w:type="gramStart"/>
      <w:r w:rsidRPr="0094225A">
        <w:rPr>
          <w:rFonts w:ascii="Courier New" w:hAnsi="Courier New" w:cs="Courier New"/>
        </w:rPr>
        <w:t>SizeTable</w:t>
      </w:r>
      <w:proofErr w:type="spellEnd"/>
      <w:r w:rsidRPr="0094225A">
        <w:rPr>
          <w:rFonts w:ascii="Courier New" w:hAnsi="Courier New" w:cs="Courier New"/>
        </w:rPr>
        <w:t>[</w:t>
      </w:r>
      <w:proofErr w:type="gramEnd"/>
      <w:r w:rsidRPr="0094225A">
        <w:rPr>
          <w:rFonts w:ascii="Courier New" w:hAnsi="Courier New" w:cs="Courier New"/>
        </w:rPr>
        <w:t>PEI_SIZE_TABLE_SIZE];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UINT8             </w:t>
      </w:r>
      <w:proofErr w:type="spellStart"/>
      <w:proofErr w:type="gramStart"/>
      <w:r w:rsidRPr="0094225A">
        <w:rPr>
          <w:rFonts w:ascii="Courier New" w:hAnsi="Courier New" w:cs="Courier New"/>
        </w:rPr>
        <w:t>SkuIdTable</w:t>
      </w:r>
      <w:proofErr w:type="spellEnd"/>
      <w:r w:rsidRPr="0094225A">
        <w:rPr>
          <w:rFonts w:ascii="Courier New" w:hAnsi="Courier New" w:cs="Courier New"/>
        </w:rPr>
        <w:t>[</w:t>
      </w:r>
      <w:proofErr w:type="gramEnd"/>
      <w:r w:rsidRPr="0094225A">
        <w:rPr>
          <w:rFonts w:ascii="Courier New" w:hAnsi="Courier New" w:cs="Courier New"/>
        </w:rPr>
        <w:t>PEI_SKUID_TABLE_SIZE];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SKU_ID            </w:t>
      </w:r>
      <w:proofErr w:type="spellStart"/>
      <w:r w:rsidRPr="0094225A">
        <w:rPr>
          <w:rFonts w:ascii="Courier New" w:hAnsi="Courier New" w:cs="Courier New"/>
        </w:rPr>
        <w:t>SystemSkuId</w:t>
      </w:r>
      <w:proofErr w:type="spellEnd"/>
      <w:r w:rsidRPr="0094225A">
        <w:rPr>
          <w:rFonts w:ascii="Courier New" w:hAnsi="Courier New" w:cs="Courier New"/>
        </w:rPr>
        <w:t>;</w:t>
      </w:r>
    </w:p>
    <w:p w:rsidR="0094225A" w:rsidRPr="0094225A" w:rsidRDefault="0094225A" w:rsidP="001E014A">
      <w:pPr>
        <w:tabs>
          <w:tab w:val="left" w:pos="-720"/>
        </w:tabs>
        <w:ind w:left="-720" w:right="-126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</w:t>
      </w:r>
    </w:p>
    <w:p w:rsidR="0094225A" w:rsidRDefault="0094225A" w:rsidP="001E014A">
      <w:pPr>
        <w:ind w:lef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94225A">
        <w:rPr>
          <w:rFonts w:ascii="Courier New" w:hAnsi="Courier New" w:cs="Courier New"/>
        </w:rPr>
        <w:t xml:space="preserve">/===== Following is value structure for PCD with default 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94225A">
        <w:rPr>
          <w:rFonts w:ascii="Courier New" w:hAnsi="Courier New" w:cs="Courier New"/>
        </w:rPr>
        <w:t>value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....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....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....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} Init;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94225A">
        <w:rPr>
          <w:rFonts w:ascii="Courier New" w:hAnsi="Courier New" w:cs="Courier New"/>
        </w:rPr>
        <w:t>typedef</w:t>
      </w:r>
      <w:proofErr w:type="spellEnd"/>
      <w:proofErr w:type="gramEnd"/>
      <w:r w:rsidRPr="0094225A">
        <w:rPr>
          <w:rFonts w:ascii="Courier New" w:hAnsi="Courier New" w:cs="Courier New"/>
        </w:rPr>
        <w:t xml:space="preserve"> </w:t>
      </w:r>
      <w:proofErr w:type="spellStart"/>
      <w:r w:rsidRPr="0094225A">
        <w:rPr>
          <w:rFonts w:ascii="Courier New" w:hAnsi="Courier New" w:cs="Courier New"/>
        </w:rPr>
        <w:t>struct</w:t>
      </w:r>
      <w:proofErr w:type="spellEnd"/>
      <w:r w:rsidRPr="0094225A">
        <w:rPr>
          <w:rFonts w:ascii="Courier New" w:hAnsi="Courier New" w:cs="Courier New"/>
        </w:rPr>
        <w:t xml:space="preserve"> _PCD_DATABSE_UNINIT {</w:t>
      </w:r>
    </w:p>
    <w:p w:rsid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//==== Following is value structure for PCD without default 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94225A">
        <w:rPr>
          <w:rFonts w:ascii="Courier New" w:hAnsi="Courier New" w:cs="Courier New"/>
        </w:rPr>
        <w:t>value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....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  ....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  } </w:t>
      </w:r>
      <w:proofErr w:type="spellStart"/>
      <w:r w:rsidRPr="0094225A">
        <w:rPr>
          <w:rFonts w:ascii="Courier New" w:hAnsi="Courier New" w:cs="Courier New"/>
        </w:rPr>
        <w:t>UnInit</w:t>
      </w:r>
      <w:proofErr w:type="spellEnd"/>
      <w:r w:rsidRPr="0094225A">
        <w:rPr>
          <w:rFonts w:ascii="Courier New" w:hAnsi="Courier New" w:cs="Courier New"/>
        </w:rPr>
        <w:t>;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  }</w:t>
      </w:r>
    </w:p>
    <w:p w:rsidR="0094225A" w:rsidRPr="0094225A" w:rsidRDefault="0094225A" w:rsidP="001E014A">
      <w:pPr>
        <w:ind w:left="-720"/>
        <w:rPr>
          <w:rFonts w:ascii="Courier New" w:hAnsi="Courier New" w:cs="Courier New"/>
        </w:rPr>
      </w:pPr>
      <w:r w:rsidRPr="0094225A">
        <w:rPr>
          <w:rFonts w:ascii="Courier New" w:hAnsi="Courier New" w:cs="Courier New"/>
        </w:rPr>
        <w:t xml:space="preserve">      </w:t>
      </w:r>
    </w:p>
    <w:p w:rsidR="0094225A" w:rsidRDefault="0094225A" w:rsidP="0094225A">
      <w:r>
        <w:t xml:space="preserve">      3.3.2 PCD value structure in PCD database C structure</w:t>
      </w:r>
    </w:p>
    <w:p w:rsidR="0094225A" w:rsidRDefault="0094225A" w:rsidP="0094225A">
      <w:r>
        <w:t xml:space="preserve">        The value's structure is generated by build tool in PCD database C structure.</w:t>
      </w:r>
    </w:p>
    <w:p w:rsidR="0094225A" w:rsidRDefault="0094225A" w:rsidP="0094225A">
      <w:r>
        <w:t xml:space="preserve">        The PCDs in different datum type has different value structure.</w:t>
      </w:r>
    </w:p>
    <w:p w:rsidR="0094225A" w:rsidRDefault="0094225A" w:rsidP="0094225A">
      <w:r>
        <w:t xml:space="preserve">        </w:t>
      </w:r>
    </w:p>
    <w:p w:rsidR="0094225A" w:rsidRDefault="0094225A" w:rsidP="0094225A">
      <w:r>
        <w:t xml:space="preserve">        3.3.2.1 UINT8/UINT16/UINT32/UINT64 datum type PCD</w:t>
      </w:r>
    </w:p>
    <w:p w:rsidR="0094225A" w:rsidRDefault="0094225A" w:rsidP="0094225A">
      <w:r>
        <w:lastRenderedPageBreak/>
        <w:t xml:space="preserve">          The C structure for these datum type PCD is just a UINT8/UINT16/UINT32/UINT64</w:t>
      </w:r>
    </w:p>
    <w:p w:rsidR="0094225A" w:rsidRDefault="0094225A" w:rsidP="0094225A">
      <w:r>
        <w:t xml:space="preserve">          </w:t>
      </w:r>
      <w:proofErr w:type="gramStart"/>
      <w:r>
        <w:t>data</w:t>
      </w:r>
      <w:proofErr w:type="gramEnd"/>
      <w:r>
        <w:t xml:space="preserve"> member in PCD database, For example:</w:t>
      </w:r>
    </w:p>
    <w:p w:rsidR="0094225A" w:rsidRDefault="0094225A" w:rsidP="0094225A">
      <w:r>
        <w:t xml:space="preserve">          </w:t>
      </w:r>
      <w:proofErr w:type="gramStart"/>
      <w:r>
        <w:t>UINT16  PcdHardwareErrorRecordLevel</w:t>
      </w:r>
      <w:proofErr w:type="gramEnd"/>
      <w:r>
        <w:t>_d3705011_bc19_4af7_be16_f68030378c15_VariableDefault_0;</w:t>
      </w:r>
    </w:p>
    <w:p w:rsidR="0094225A" w:rsidRDefault="0094225A" w:rsidP="0094225A">
      <w:r>
        <w:t xml:space="preserve">          Above structure is generated by build tool, the member name is "</w:t>
      </w:r>
      <w:proofErr w:type="spellStart"/>
      <w:r>
        <w:t>PcdCName_Guidvalue</w:t>
      </w:r>
      <w:proofErr w:type="spellEnd"/>
      <w:r>
        <w:t>"</w:t>
      </w:r>
    </w:p>
    <w:p w:rsidR="0094225A" w:rsidRDefault="0094225A" w:rsidP="0094225A">
      <w:r>
        <w:t xml:space="preserve">          Member type is UINT16 according to </w:t>
      </w:r>
      <w:proofErr w:type="spellStart"/>
      <w:r>
        <w:t>PcdHardwareErrorRecordLevel</w:t>
      </w:r>
      <w:proofErr w:type="spellEnd"/>
      <w:r>
        <w:t xml:space="preserve"> declaration</w:t>
      </w:r>
    </w:p>
    <w:p w:rsidR="0094225A" w:rsidRDefault="0094225A" w:rsidP="0094225A">
      <w:r>
        <w:t xml:space="preserve">          </w:t>
      </w:r>
      <w:proofErr w:type="gramStart"/>
      <w:r>
        <w:t>in</w:t>
      </w:r>
      <w:proofErr w:type="gramEnd"/>
      <w:r>
        <w:t xml:space="preserve"> DEC file.</w:t>
      </w:r>
    </w:p>
    <w:p w:rsidR="0094225A" w:rsidRDefault="0094225A" w:rsidP="0094225A">
      <w:r>
        <w:t xml:space="preserve">          </w:t>
      </w:r>
    </w:p>
    <w:p w:rsidR="0094225A" w:rsidRDefault="0094225A" w:rsidP="0094225A">
      <w:r>
        <w:t xml:space="preserve">        3.3.2.2 VOID* datum type PCD</w:t>
      </w:r>
    </w:p>
    <w:p w:rsidR="0094225A" w:rsidRDefault="0094225A" w:rsidP="0094225A">
      <w:r>
        <w:t xml:space="preserve">          The value of VOID* datum type PCD is a UINT8/UINT16 array in PCD database.</w:t>
      </w:r>
    </w:p>
    <w:p w:rsidR="0094225A" w:rsidRDefault="0094225A" w:rsidP="0094225A">
      <w:r>
        <w:t xml:space="preserve">          </w:t>
      </w:r>
    </w:p>
    <w:p w:rsidR="0094225A" w:rsidRDefault="0094225A" w:rsidP="0094225A">
      <w:r>
        <w:t xml:space="preserve">          3.3.2.2.1 VOID* - string type</w:t>
      </w:r>
    </w:p>
    <w:p w:rsidR="0094225A" w:rsidRDefault="0094225A" w:rsidP="0094225A">
      <w:r>
        <w:t xml:space="preserve">            If the default value for VOID* datum type PCD like </w:t>
      </w:r>
      <w:proofErr w:type="spellStart"/>
      <w:r>
        <w:t>L"xxx</w:t>
      </w:r>
      <w:proofErr w:type="spellEnd"/>
      <w:r>
        <w:t xml:space="preserve">", the PCD is </w:t>
      </w:r>
    </w:p>
    <w:p w:rsidR="0094225A" w:rsidRDefault="0094225A" w:rsidP="0094225A">
      <w:r>
        <w:t xml:space="preserve">            </w:t>
      </w:r>
      <w:proofErr w:type="gramStart"/>
      <w:r>
        <w:t>used</w:t>
      </w:r>
      <w:proofErr w:type="gramEnd"/>
      <w:r>
        <w:t xml:space="preserve"> for </w:t>
      </w:r>
      <w:proofErr w:type="spellStart"/>
      <w:r>
        <w:t>unicode</w:t>
      </w:r>
      <w:proofErr w:type="spellEnd"/>
      <w:r>
        <w:t xml:space="preserve"> string, and C structure of this datum type PCD is </w:t>
      </w:r>
    </w:p>
    <w:p w:rsidR="0094225A" w:rsidRDefault="0094225A" w:rsidP="0094225A">
      <w:r>
        <w:t xml:space="preserve">            UINT16 string array in PCD database, for example:</w:t>
      </w:r>
    </w:p>
    <w:p w:rsidR="0094225A" w:rsidRDefault="0094225A" w:rsidP="0094225A">
      <w:r>
        <w:t xml:space="preserve">            UINT16 </w:t>
      </w:r>
      <w:proofErr w:type="spellStart"/>
      <w:proofErr w:type="gramStart"/>
      <w:r>
        <w:t>StringTable</w:t>
      </w:r>
      <w:proofErr w:type="spellEnd"/>
      <w:r>
        <w:t>[</w:t>
      </w:r>
      <w:proofErr w:type="gramEnd"/>
      <w:r>
        <w:t>29];</w:t>
      </w:r>
    </w:p>
    <w:p w:rsidR="0094225A" w:rsidRDefault="0094225A" w:rsidP="0094225A">
      <w:r>
        <w:t xml:space="preserve">            The number of 29 in above sample is max size of a </w:t>
      </w:r>
      <w:proofErr w:type="spellStart"/>
      <w:r>
        <w:t>unicode</w:t>
      </w:r>
      <w:proofErr w:type="spellEnd"/>
      <w:r>
        <w:t xml:space="preserve"> string.</w:t>
      </w:r>
    </w:p>
    <w:p w:rsidR="0094225A" w:rsidRDefault="0094225A" w:rsidP="0094225A">
      <w:r>
        <w:t xml:space="preserve">            </w:t>
      </w:r>
    </w:p>
    <w:p w:rsidR="0094225A" w:rsidRDefault="0094225A" w:rsidP="0094225A">
      <w:r>
        <w:t xml:space="preserve">            If the default value for VOID* datum type PCD like "xxx", the PCD is</w:t>
      </w:r>
    </w:p>
    <w:p w:rsidR="0094225A" w:rsidRDefault="0094225A" w:rsidP="0094225A">
      <w:r>
        <w:t xml:space="preserve">            </w:t>
      </w:r>
      <w:proofErr w:type="gramStart"/>
      <w:r>
        <w:t>used</w:t>
      </w:r>
      <w:proofErr w:type="gramEnd"/>
      <w:r>
        <w:t xml:space="preserve"> for </w:t>
      </w:r>
      <w:proofErr w:type="spellStart"/>
      <w:r>
        <w:t>ascii</w:t>
      </w:r>
      <w:proofErr w:type="spellEnd"/>
      <w:r>
        <w:t xml:space="preserve"> string, and C structure of this datum type PCD is </w:t>
      </w:r>
    </w:p>
    <w:p w:rsidR="0094225A" w:rsidRDefault="0094225A" w:rsidP="0094225A">
      <w:r>
        <w:t xml:space="preserve">            UINT8 string array in PCD database, for example:</w:t>
      </w:r>
    </w:p>
    <w:p w:rsidR="0094225A" w:rsidRDefault="0094225A" w:rsidP="0094225A">
      <w:r>
        <w:t xml:space="preserve">            UINT8 </w:t>
      </w:r>
      <w:proofErr w:type="spellStart"/>
      <w:proofErr w:type="gramStart"/>
      <w:r>
        <w:t>StringTable</w:t>
      </w:r>
      <w:proofErr w:type="spellEnd"/>
      <w:r>
        <w:t>[</w:t>
      </w:r>
      <w:proofErr w:type="gramEnd"/>
      <w:r>
        <w:t>20];</w:t>
      </w:r>
    </w:p>
    <w:p w:rsidR="0094225A" w:rsidRDefault="0094225A" w:rsidP="0094225A">
      <w:r>
        <w:t xml:space="preserve">            The number of 20 in above sample is max size of </w:t>
      </w:r>
      <w:proofErr w:type="gramStart"/>
      <w:r>
        <w:t>a</w:t>
      </w:r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string.</w:t>
      </w:r>
    </w:p>
    <w:p w:rsidR="0094225A" w:rsidRDefault="0094225A" w:rsidP="0094225A">
      <w:r>
        <w:t xml:space="preserve">            </w:t>
      </w:r>
    </w:p>
    <w:p w:rsidR="0094225A" w:rsidRDefault="0094225A" w:rsidP="0094225A">
      <w:r>
        <w:t xml:space="preserve">          3.3.2.2.2 VOID* - byte array</w:t>
      </w:r>
    </w:p>
    <w:p w:rsidR="0094225A" w:rsidRDefault="0094225A" w:rsidP="0094225A">
      <w:r>
        <w:t xml:space="preserve">            If the default value of VOID* datum type PCD like {'0x29', '0x01', '0xf2'}</w:t>
      </w:r>
    </w:p>
    <w:p w:rsidR="0094225A" w:rsidRDefault="0094225A" w:rsidP="0094225A">
      <w:r>
        <w:t xml:space="preserve">            </w:t>
      </w:r>
      <w:proofErr w:type="gramStart"/>
      <w:r>
        <w:t>the</w:t>
      </w:r>
      <w:proofErr w:type="gramEnd"/>
      <w:r>
        <w:t xml:space="preserve"> PCD is used for byte array. The generated </w:t>
      </w:r>
      <w:proofErr w:type="spellStart"/>
      <w:r>
        <w:t>structrue</w:t>
      </w:r>
      <w:proofErr w:type="spellEnd"/>
      <w:r>
        <w:t xml:space="preserve"> is same as </w:t>
      </w:r>
    </w:p>
    <w:p w:rsidR="0094225A" w:rsidRDefault="0094225A" w:rsidP="0094225A">
      <w:r>
        <w:t xml:space="preserve">            </w:t>
      </w:r>
      <w:proofErr w:type="gramStart"/>
      <w:r>
        <w:t>above</w:t>
      </w:r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string table,</w:t>
      </w:r>
    </w:p>
    <w:p w:rsidR="0094225A" w:rsidRDefault="0094225A" w:rsidP="0094225A">
      <w:r>
        <w:t xml:space="preserve">            UINT8 </w:t>
      </w:r>
      <w:proofErr w:type="spellStart"/>
      <w:proofErr w:type="gramStart"/>
      <w:r>
        <w:t>StringTable</w:t>
      </w:r>
      <w:proofErr w:type="spellEnd"/>
      <w:r>
        <w:t>[</w:t>
      </w:r>
      <w:proofErr w:type="gramEnd"/>
      <w:r>
        <w:t>13];</w:t>
      </w:r>
    </w:p>
    <w:p w:rsidR="0094225A" w:rsidRDefault="0094225A" w:rsidP="0094225A">
      <w:r>
        <w:t xml:space="preserve">            The number of 13 in above sample is max size of byte array.</w:t>
      </w:r>
    </w:p>
    <w:p w:rsidR="0094225A" w:rsidRDefault="0094225A" w:rsidP="0094225A">
      <w:r>
        <w:t xml:space="preserve">       </w:t>
      </w:r>
    </w:p>
    <w:p w:rsidR="0094225A" w:rsidRDefault="0094225A" w:rsidP="0094225A">
      <w:r>
        <w:t xml:space="preserve">      3.3.3 Some utility structures in PCD Database</w:t>
      </w:r>
    </w:p>
    <w:p w:rsidR="0094225A" w:rsidRDefault="0094225A" w:rsidP="0094225A">
      <w:r>
        <w:t xml:space="preserve">        3.3.3.1 </w:t>
      </w:r>
      <w:proofErr w:type="spellStart"/>
      <w:r>
        <w:t>GuidTable</w:t>
      </w:r>
      <w:proofErr w:type="spellEnd"/>
    </w:p>
    <w:p w:rsidR="0094225A" w:rsidRDefault="0094225A" w:rsidP="0094225A">
      <w:r>
        <w:t xml:space="preserve">          </w:t>
      </w:r>
      <w:proofErr w:type="spellStart"/>
      <w:r>
        <w:t>GuidTable</w:t>
      </w:r>
      <w:proofErr w:type="spellEnd"/>
      <w:r>
        <w:t xml:space="preserve"> array is used to store all related GUID value in PCD database:</w:t>
      </w:r>
    </w:p>
    <w:p w:rsidR="0094225A" w:rsidRDefault="0094225A" w:rsidP="0094225A">
      <w:r>
        <w:t xml:space="preserve">            - Variable GUID for HII type PCD</w:t>
      </w:r>
    </w:p>
    <w:p w:rsidR="0094225A" w:rsidRDefault="0094225A" w:rsidP="0094225A">
      <w:r>
        <w:t xml:space="preserve">            - Token space GUID for </w:t>
      </w:r>
      <w:proofErr w:type="spellStart"/>
      <w:r>
        <w:t>dynamicex</w:t>
      </w:r>
      <w:proofErr w:type="spellEnd"/>
      <w:r>
        <w:t xml:space="preserve"> type PCD </w:t>
      </w:r>
    </w:p>
    <w:p w:rsidR="00B92A85" w:rsidRDefault="00B92A85"/>
    <w:sectPr w:rsidR="00B92A85" w:rsidSect="002D0D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94225A"/>
    <w:rsid w:val="0000084A"/>
    <w:rsid w:val="00000A2B"/>
    <w:rsid w:val="00000D15"/>
    <w:rsid w:val="00001C5A"/>
    <w:rsid w:val="0000245D"/>
    <w:rsid w:val="000026DE"/>
    <w:rsid w:val="000028B5"/>
    <w:rsid w:val="0000395E"/>
    <w:rsid w:val="00003C14"/>
    <w:rsid w:val="00003F85"/>
    <w:rsid w:val="00004206"/>
    <w:rsid w:val="00004F2E"/>
    <w:rsid w:val="000050A8"/>
    <w:rsid w:val="0000529C"/>
    <w:rsid w:val="00005426"/>
    <w:rsid w:val="000057D6"/>
    <w:rsid w:val="000059E8"/>
    <w:rsid w:val="0000653C"/>
    <w:rsid w:val="000066DC"/>
    <w:rsid w:val="00006827"/>
    <w:rsid w:val="00006EBC"/>
    <w:rsid w:val="000074A2"/>
    <w:rsid w:val="000076ED"/>
    <w:rsid w:val="00007786"/>
    <w:rsid w:val="0001020D"/>
    <w:rsid w:val="0001046F"/>
    <w:rsid w:val="00010ED3"/>
    <w:rsid w:val="00012BE0"/>
    <w:rsid w:val="00012BEE"/>
    <w:rsid w:val="0001310E"/>
    <w:rsid w:val="00014171"/>
    <w:rsid w:val="000141CB"/>
    <w:rsid w:val="00014FD9"/>
    <w:rsid w:val="0001581B"/>
    <w:rsid w:val="00016946"/>
    <w:rsid w:val="0001758C"/>
    <w:rsid w:val="000175C0"/>
    <w:rsid w:val="0001765F"/>
    <w:rsid w:val="00017B7E"/>
    <w:rsid w:val="00020599"/>
    <w:rsid w:val="0002165D"/>
    <w:rsid w:val="000218BA"/>
    <w:rsid w:val="0002422B"/>
    <w:rsid w:val="000242E2"/>
    <w:rsid w:val="0002459A"/>
    <w:rsid w:val="000249F3"/>
    <w:rsid w:val="00025CB6"/>
    <w:rsid w:val="0002616A"/>
    <w:rsid w:val="00026462"/>
    <w:rsid w:val="0002763D"/>
    <w:rsid w:val="0002781E"/>
    <w:rsid w:val="00030691"/>
    <w:rsid w:val="00030891"/>
    <w:rsid w:val="000308A5"/>
    <w:rsid w:val="000311D0"/>
    <w:rsid w:val="000316AE"/>
    <w:rsid w:val="00031A07"/>
    <w:rsid w:val="00031D73"/>
    <w:rsid w:val="0003265B"/>
    <w:rsid w:val="0003297D"/>
    <w:rsid w:val="00032D2C"/>
    <w:rsid w:val="00033800"/>
    <w:rsid w:val="00034247"/>
    <w:rsid w:val="00034527"/>
    <w:rsid w:val="00034AC8"/>
    <w:rsid w:val="0003560C"/>
    <w:rsid w:val="0003600D"/>
    <w:rsid w:val="00036170"/>
    <w:rsid w:val="00036C97"/>
    <w:rsid w:val="000370AB"/>
    <w:rsid w:val="00040422"/>
    <w:rsid w:val="000410FC"/>
    <w:rsid w:val="000411BA"/>
    <w:rsid w:val="00041B89"/>
    <w:rsid w:val="000423DF"/>
    <w:rsid w:val="00042BB2"/>
    <w:rsid w:val="00042D88"/>
    <w:rsid w:val="00043B2C"/>
    <w:rsid w:val="00044C15"/>
    <w:rsid w:val="00044EF9"/>
    <w:rsid w:val="00045BB4"/>
    <w:rsid w:val="00047CAF"/>
    <w:rsid w:val="00050DF3"/>
    <w:rsid w:val="00050E17"/>
    <w:rsid w:val="0005142B"/>
    <w:rsid w:val="00051553"/>
    <w:rsid w:val="00051B28"/>
    <w:rsid w:val="000524AF"/>
    <w:rsid w:val="000525B7"/>
    <w:rsid w:val="000532C4"/>
    <w:rsid w:val="0005402C"/>
    <w:rsid w:val="000542A6"/>
    <w:rsid w:val="00054A43"/>
    <w:rsid w:val="00054C62"/>
    <w:rsid w:val="000550FE"/>
    <w:rsid w:val="0005556E"/>
    <w:rsid w:val="000557FA"/>
    <w:rsid w:val="00055814"/>
    <w:rsid w:val="00057182"/>
    <w:rsid w:val="00057943"/>
    <w:rsid w:val="00061437"/>
    <w:rsid w:val="000614DB"/>
    <w:rsid w:val="00062474"/>
    <w:rsid w:val="0006279F"/>
    <w:rsid w:val="00062925"/>
    <w:rsid w:val="00064711"/>
    <w:rsid w:val="00064E2C"/>
    <w:rsid w:val="00065067"/>
    <w:rsid w:val="00065114"/>
    <w:rsid w:val="00066867"/>
    <w:rsid w:val="00067B84"/>
    <w:rsid w:val="0007012C"/>
    <w:rsid w:val="0007057D"/>
    <w:rsid w:val="00070989"/>
    <w:rsid w:val="00071107"/>
    <w:rsid w:val="000714A4"/>
    <w:rsid w:val="000714BD"/>
    <w:rsid w:val="0007161B"/>
    <w:rsid w:val="00071DFB"/>
    <w:rsid w:val="0007248D"/>
    <w:rsid w:val="0007283A"/>
    <w:rsid w:val="00072A6A"/>
    <w:rsid w:val="0007446C"/>
    <w:rsid w:val="00074776"/>
    <w:rsid w:val="00074DD8"/>
    <w:rsid w:val="00074F4C"/>
    <w:rsid w:val="00075747"/>
    <w:rsid w:val="0007574A"/>
    <w:rsid w:val="00075FCC"/>
    <w:rsid w:val="000776CA"/>
    <w:rsid w:val="00077D6A"/>
    <w:rsid w:val="00080015"/>
    <w:rsid w:val="000803A4"/>
    <w:rsid w:val="00081979"/>
    <w:rsid w:val="00081CF8"/>
    <w:rsid w:val="000820FF"/>
    <w:rsid w:val="00082229"/>
    <w:rsid w:val="00082A7A"/>
    <w:rsid w:val="000845A9"/>
    <w:rsid w:val="00084F3B"/>
    <w:rsid w:val="000850D2"/>
    <w:rsid w:val="000855E5"/>
    <w:rsid w:val="00085CBA"/>
    <w:rsid w:val="0008629B"/>
    <w:rsid w:val="00086585"/>
    <w:rsid w:val="00086CAB"/>
    <w:rsid w:val="00087594"/>
    <w:rsid w:val="00087A6B"/>
    <w:rsid w:val="00087FE4"/>
    <w:rsid w:val="00090463"/>
    <w:rsid w:val="0009074F"/>
    <w:rsid w:val="0009081D"/>
    <w:rsid w:val="00092428"/>
    <w:rsid w:val="00092DE9"/>
    <w:rsid w:val="00093299"/>
    <w:rsid w:val="0009353B"/>
    <w:rsid w:val="00096296"/>
    <w:rsid w:val="0009776D"/>
    <w:rsid w:val="00097ACB"/>
    <w:rsid w:val="00097B7A"/>
    <w:rsid w:val="000A0143"/>
    <w:rsid w:val="000A06E5"/>
    <w:rsid w:val="000A0E79"/>
    <w:rsid w:val="000A1277"/>
    <w:rsid w:val="000A1DF9"/>
    <w:rsid w:val="000A1E8A"/>
    <w:rsid w:val="000A2017"/>
    <w:rsid w:val="000A264A"/>
    <w:rsid w:val="000A3316"/>
    <w:rsid w:val="000A3738"/>
    <w:rsid w:val="000A3E9B"/>
    <w:rsid w:val="000A457C"/>
    <w:rsid w:val="000A5798"/>
    <w:rsid w:val="000A58D4"/>
    <w:rsid w:val="000A5F7E"/>
    <w:rsid w:val="000B0842"/>
    <w:rsid w:val="000B101F"/>
    <w:rsid w:val="000B128D"/>
    <w:rsid w:val="000B1568"/>
    <w:rsid w:val="000B15A7"/>
    <w:rsid w:val="000B1ACC"/>
    <w:rsid w:val="000B2462"/>
    <w:rsid w:val="000B29D9"/>
    <w:rsid w:val="000B3C98"/>
    <w:rsid w:val="000B3DF9"/>
    <w:rsid w:val="000B41F8"/>
    <w:rsid w:val="000B4C0D"/>
    <w:rsid w:val="000B5C8E"/>
    <w:rsid w:val="000B60F5"/>
    <w:rsid w:val="000B63A4"/>
    <w:rsid w:val="000B6887"/>
    <w:rsid w:val="000B73AF"/>
    <w:rsid w:val="000B7439"/>
    <w:rsid w:val="000B74DA"/>
    <w:rsid w:val="000B7AAF"/>
    <w:rsid w:val="000B7AB8"/>
    <w:rsid w:val="000B7AED"/>
    <w:rsid w:val="000C2ECD"/>
    <w:rsid w:val="000C3DB4"/>
    <w:rsid w:val="000C4209"/>
    <w:rsid w:val="000C474E"/>
    <w:rsid w:val="000C57F6"/>
    <w:rsid w:val="000C7436"/>
    <w:rsid w:val="000C7543"/>
    <w:rsid w:val="000C7546"/>
    <w:rsid w:val="000D0AE8"/>
    <w:rsid w:val="000D0CDF"/>
    <w:rsid w:val="000D1AC8"/>
    <w:rsid w:val="000D1CCD"/>
    <w:rsid w:val="000D22DD"/>
    <w:rsid w:val="000D2BE4"/>
    <w:rsid w:val="000D33A0"/>
    <w:rsid w:val="000D496B"/>
    <w:rsid w:val="000D56B8"/>
    <w:rsid w:val="000D5DC5"/>
    <w:rsid w:val="000D5FAF"/>
    <w:rsid w:val="000D61AE"/>
    <w:rsid w:val="000D6BBB"/>
    <w:rsid w:val="000D6D6E"/>
    <w:rsid w:val="000D70E6"/>
    <w:rsid w:val="000D7E49"/>
    <w:rsid w:val="000E0397"/>
    <w:rsid w:val="000E0746"/>
    <w:rsid w:val="000E0A60"/>
    <w:rsid w:val="000E228A"/>
    <w:rsid w:val="000E29D6"/>
    <w:rsid w:val="000E2AE0"/>
    <w:rsid w:val="000E2C8F"/>
    <w:rsid w:val="000E453A"/>
    <w:rsid w:val="000E48BA"/>
    <w:rsid w:val="000E4C01"/>
    <w:rsid w:val="000E4F6A"/>
    <w:rsid w:val="000E62D0"/>
    <w:rsid w:val="000E6DAA"/>
    <w:rsid w:val="000E710F"/>
    <w:rsid w:val="000F0666"/>
    <w:rsid w:val="000F073A"/>
    <w:rsid w:val="000F0864"/>
    <w:rsid w:val="000F0C0F"/>
    <w:rsid w:val="000F137A"/>
    <w:rsid w:val="000F1DD5"/>
    <w:rsid w:val="000F37C0"/>
    <w:rsid w:val="000F3E19"/>
    <w:rsid w:val="000F3FDF"/>
    <w:rsid w:val="000F42E2"/>
    <w:rsid w:val="000F450E"/>
    <w:rsid w:val="000F5B77"/>
    <w:rsid w:val="000F60D2"/>
    <w:rsid w:val="000F651F"/>
    <w:rsid w:val="000F7428"/>
    <w:rsid w:val="000F74F6"/>
    <w:rsid w:val="00100EDE"/>
    <w:rsid w:val="001028E6"/>
    <w:rsid w:val="00102E20"/>
    <w:rsid w:val="00103A54"/>
    <w:rsid w:val="00103C4A"/>
    <w:rsid w:val="00103EE0"/>
    <w:rsid w:val="00104367"/>
    <w:rsid w:val="00104624"/>
    <w:rsid w:val="001049C5"/>
    <w:rsid w:val="00104AA6"/>
    <w:rsid w:val="00104FBA"/>
    <w:rsid w:val="00106372"/>
    <w:rsid w:val="00106465"/>
    <w:rsid w:val="00106501"/>
    <w:rsid w:val="00106C30"/>
    <w:rsid w:val="00106DFA"/>
    <w:rsid w:val="001070B8"/>
    <w:rsid w:val="001079E4"/>
    <w:rsid w:val="00107AFC"/>
    <w:rsid w:val="00111533"/>
    <w:rsid w:val="001119FB"/>
    <w:rsid w:val="00111FB4"/>
    <w:rsid w:val="00112151"/>
    <w:rsid w:val="0011299B"/>
    <w:rsid w:val="00112B5F"/>
    <w:rsid w:val="00113B47"/>
    <w:rsid w:val="001142E9"/>
    <w:rsid w:val="001146D8"/>
    <w:rsid w:val="0011478B"/>
    <w:rsid w:val="00114929"/>
    <w:rsid w:val="001157A2"/>
    <w:rsid w:val="001164FB"/>
    <w:rsid w:val="00116D7C"/>
    <w:rsid w:val="00117134"/>
    <w:rsid w:val="00120501"/>
    <w:rsid w:val="00120CF6"/>
    <w:rsid w:val="00120D2A"/>
    <w:rsid w:val="00121114"/>
    <w:rsid w:val="0012131A"/>
    <w:rsid w:val="00121F48"/>
    <w:rsid w:val="00122D07"/>
    <w:rsid w:val="00123A19"/>
    <w:rsid w:val="00124507"/>
    <w:rsid w:val="0012465B"/>
    <w:rsid w:val="001249CE"/>
    <w:rsid w:val="00124ACE"/>
    <w:rsid w:val="001259DE"/>
    <w:rsid w:val="00127575"/>
    <w:rsid w:val="0013212D"/>
    <w:rsid w:val="00132425"/>
    <w:rsid w:val="00132A02"/>
    <w:rsid w:val="001330A5"/>
    <w:rsid w:val="00133989"/>
    <w:rsid w:val="00133C45"/>
    <w:rsid w:val="00134469"/>
    <w:rsid w:val="001348A8"/>
    <w:rsid w:val="001348E1"/>
    <w:rsid w:val="0013558C"/>
    <w:rsid w:val="0013565B"/>
    <w:rsid w:val="0013685E"/>
    <w:rsid w:val="00136959"/>
    <w:rsid w:val="001372F4"/>
    <w:rsid w:val="001376CF"/>
    <w:rsid w:val="0013796E"/>
    <w:rsid w:val="00137B24"/>
    <w:rsid w:val="001402D3"/>
    <w:rsid w:val="0014133B"/>
    <w:rsid w:val="001415CC"/>
    <w:rsid w:val="0014165B"/>
    <w:rsid w:val="00141975"/>
    <w:rsid w:val="00141A2A"/>
    <w:rsid w:val="00141B29"/>
    <w:rsid w:val="00142007"/>
    <w:rsid w:val="001425BA"/>
    <w:rsid w:val="0014286F"/>
    <w:rsid w:val="00142B5A"/>
    <w:rsid w:val="00143909"/>
    <w:rsid w:val="00143F94"/>
    <w:rsid w:val="001444EB"/>
    <w:rsid w:val="001446E0"/>
    <w:rsid w:val="00145FF3"/>
    <w:rsid w:val="0014693F"/>
    <w:rsid w:val="00146A73"/>
    <w:rsid w:val="00146B75"/>
    <w:rsid w:val="00147226"/>
    <w:rsid w:val="001478C5"/>
    <w:rsid w:val="00147A87"/>
    <w:rsid w:val="00150302"/>
    <w:rsid w:val="00150333"/>
    <w:rsid w:val="00151137"/>
    <w:rsid w:val="0015129F"/>
    <w:rsid w:val="00151820"/>
    <w:rsid w:val="00151FB0"/>
    <w:rsid w:val="001520A9"/>
    <w:rsid w:val="00154BB4"/>
    <w:rsid w:val="00155061"/>
    <w:rsid w:val="00155435"/>
    <w:rsid w:val="00155FF2"/>
    <w:rsid w:val="00156533"/>
    <w:rsid w:val="001567B6"/>
    <w:rsid w:val="00156A6F"/>
    <w:rsid w:val="001572BA"/>
    <w:rsid w:val="0015749B"/>
    <w:rsid w:val="001605D3"/>
    <w:rsid w:val="00160DB7"/>
    <w:rsid w:val="00160FF6"/>
    <w:rsid w:val="0016191E"/>
    <w:rsid w:val="00161A48"/>
    <w:rsid w:val="0016207B"/>
    <w:rsid w:val="001621B3"/>
    <w:rsid w:val="0016280D"/>
    <w:rsid w:val="00162A68"/>
    <w:rsid w:val="00162E95"/>
    <w:rsid w:val="00163CDB"/>
    <w:rsid w:val="00164D47"/>
    <w:rsid w:val="001652E3"/>
    <w:rsid w:val="001655B3"/>
    <w:rsid w:val="00165C9B"/>
    <w:rsid w:val="0016679C"/>
    <w:rsid w:val="00166D32"/>
    <w:rsid w:val="00166D5A"/>
    <w:rsid w:val="00167750"/>
    <w:rsid w:val="00167BCA"/>
    <w:rsid w:val="00167F3F"/>
    <w:rsid w:val="001708CF"/>
    <w:rsid w:val="00170DEE"/>
    <w:rsid w:val="001713A5"/>
    <w:rsid w:val="00171A61"/>
    <w:rsid w:val="00172F42"/>
    <w:rsid w:val="00173753"/>
    <w:rsid w:val="00173964"/>
    <w:rsid w:val="00173A28"/>
    <w:rsid w:val="00173A55"/>
    <w:rsid w:val="001742E2"/>
    <w:rsid w:val="00174E12"/>
    <w:rsid w:val="001752C8"/>
    <w:rsid w:val="001757F5"/>
    <w:rsid w:val="0017708E"/>
    <w:rsid w:val="001779D9"/>
    <w:rsid w:val="00177CAC"/>
    <w:rsid w:val="00180287"/>
    <w:rsid w:val="001811EC"/>
    <w:rsid w:val="00182A3D"/>
    <w:rsid w:val="00182A51"/>
    <w:rsid w:val="00182AC2"/>
    <w:rsid w:val="00183185"/>
    <w:rsid w:val="001836CE"/>
    <w:rsid w:val="00183AAB"/>
    <w:rsid w:val="00183CF1"/>
    <w:rsid w:val="00183DEB"/>
    <w:rsid w:val="00183FE4"/>
    <w:rsid w:val="00184781"/>
    <w:rsid w:val="00184A63"/>
    <w:rsid w:val="00184DE0"/>
    <w:rsid w:val="001859DF"/>
    <w:rsid w:val="00185D2F"/>
    <w:rsid w:val="00186844"/>
    <w:rsid w:val="001870A5"/>
    <w:rsid w:val="0018726C"/>
    <w:rsid w:val="00187F64"/>
    <w:rsid w:val="0019096E"/>
    <w:rsid w:val="00190CCA"/>
    <w:rsid w:val="00190D73"/>
    <w:rsid w:val="0019126C"/>
    <w:rsid w:val="001912FA"/>
    <w:rsid w:val="0019197F"/>
    <w:rsid w:val="00191B21"/>
    <w:rsid w:val="00192B98"/>
    <w:rsid w:val="0019371C"/>
    <w:rsid w:val="00193B94"/>
    <w:rsid w:val="00193FEB"/>
    <w:rsid w:val="00194376"/>
    <w:rsid w:val="001943C7"/>
    <w:rsid w:val="00194FD1"/>
    <w:rsid w:val="001950B6"/>
    <w:rsid w:val="00195E54"/>
    <w:rsid w:val="00195F4D"/>
    <w:rsid w:val="00196182"/>
    <w:rsid w:val="001961A6"/>
    <w:rsid w:val="001973A0"/>
    <w:rsid w:val="001A0A08"/>
    <w:rsid w:val="001A0A7A"/>
    <w:rsid w:val="001A1506"/>
    <w:rsid w:val="001A1B76"/>
    <w:rsid w:val="001A22E8"/>
    <w:rsid w:val="001A231A"/>
    <w:rsid w:val="001A29D7"/>
    <w:rsid w:val="001A2CB1"/>
    <w:rsid w:val="001A2CFB"/>
    <w:rsid w:val="001A3328"/>
    <w:rsid w:val="001A3622"/>
    <w:rsid w:val="001A3BEC"/>
    <w:rsid w:val="001A3E84"/>
    <w:rsid w:val="001A4BD9"/>
    <w:rsid w:val="001A4FCB"/>
    <w:rsid w:val="001A52D1"/>
    <w:rsid w:val="001A5DA5"/>
    <w:rsid w:val="001A5E0D"/>
    <w:rsid w:val="001A609F"/>
    <w:rsid w:val="001A6843"/>
    <w:rsid w:val="001A74E5"/>
    <w:rsid w:val="001A75FD"/>
    <w:rsid w:val="001A7CC9"/>
    <w:rsid w:val="001B0AE3"/>
    <w:rsid w:val="001B0D27"/>
    <w:rsid w:val="001B1134"/>
    <w:rsid w:val="001B264C"/>
    <w:rsid w:val="001B31AA"/>
    <w:rsid w:val="001B32EE"/>
    <w:rsid w:val="001B37B1"/>
    <w:rsid w:val="001B3852"/>
    <w:rsid w:val="001B3B44"/>
    <w:rsid w:val="001B3CD5"/>
    <w:rsid w:val="001B3ED9"/>
    <w:rsid w:val="001B3EEF"/>
    <w:rsid w:val="001B3EF6"/>
    <w:rsid w:val="001B4020"/>
    <w:rsid w:val="001B5509"/>
    <w:rsid w:val="001B595A"/>
    <w:rsid w:val="001B7CE9"/>
    <w:rsid w:val="001C0074"/>
    <w:rsid w:val="001C03C0"/>
    <w:rsid w:val="001C070B"/>
    <w:rsid w:val="001C0B0F"/>
    <w:rsid w:val="001C0DBC"/>
    <w:rsid w:val="001C149C"/>
    <w:rsid w:val="001C154E"/>
    <w:rsid w:val="001C1740"/>
    <w:rsid w:val="001C293E"/>
    <w:rsid w:val="001C2B40"/>
    <w:rsid w:val="001C3272"/>
    <w:rsid w:val="001C482E"/>
    <w:rsid w:val="001C4F5D"/>
    <w:rsid w:val="001C55A4"/>
    <w:rsid w:val="001C58E7"/>
    <w:rsid w:val="001C6314"/>
    <w:rsid w:val="001C669D"/>
    <w:rsid w:val="001C6ABC"/>
    <w:rsid w:val="001C6D68"/>
    <w:rsid w:val="001C7014"/>
    <w:rsid w:val="001C7477"/>
    <w:rsid w:val="001C7A52"/>
    <w:rsid w:val="001C7D7C"/>
    <w:rsid w:val="001D092E"/>
    <w:rsid w:val="001D0BBA"/>
    <w:rsid w:val="001D18EF"/>
    <w:rsid w:val="001D1CF5"/>
    <w:rsid w:val="001D25EC"/>
    <w:rsid w:val="001D29F9"/>
    <w:rsid w:val="001D2B53"/>
    <w:rsid w:val="001D3490"/>
    <w:rsid w:val="001D3C19"/>
    <w:rsid w:val="001D616D"/>
    <w:rsid w:val="001D67E1"/>
    <w:rsid w:val="001D6808"/>
    <w:rsid w:val="001D6B9E"/>
    <w:rsid w:val="001E014A"/>
    <w:rsid w:val="001E0565"/>
    <w:rsid w:val="001E0865"/>
    <w:rsid w:val="001E1416"/>
    <w:rsid w:val="001E1872"/>
    <w:rsid w:val="001E1DAF"/>
    <w:rsid w:val="001E1F4E"/>
    <w:rsid w:val="001E2943"/>
    <w:rsid w:val="001E2B5F"/>
    <w:rsid w:val="001E2C15"/>
    <w:rsid w:val="001E2E89"/>
    <w:rsid w:val="001E35D1"/>
    <w:rsid w:val="001E3796"/>
    <w:rsid w:val="001E3D19"/>
    <w:rsid w:val="001E6487"/>
    <w:rsid w:val="001E711D"/>
    <w:rsid w:val="001E7A7D"/>
    <w:rsid w:val="001E7DC5"/>
    <w:rsid w:val="001F074B"/>
    <w:rsid w:val="001F0797"/>
    <w:rsid w:val="001F0BCA"/>
    <w:rsid w:val="001F0BDF"/>
    <w:rsid w:val="001F0E9E"/>
    <w:rsid w:val="001F198B"/>
    <w:rsid w:val="001F25B1"/>
    <w:rsid w:val="001F2F8F"/>
    <w:rsid w:val="001F32BA"/>
    <w:rsid w:val="001F3532"/>
    <w:rsid w:val="001F3F88"/>
    <w:rsid w:val="001F40D9"/>
    <w:rsid w:val="001F432D"/>
    <w:rsid w:val="001F5548"/>
    <w:rsid w:val="001F61C3"/>
    <w:rsid w:val="001F6545"/>
    <w:rsid w:val="001F7672"/>
    <w:rsid w:val="001F7690"/>
    <w:rsid w:val="001F7B03"/>
    <w:rsid w:val="0020103B"/>
    <w:rsid w:val="00201A40"/>
    <w:rsid w:val="00202319"/>
    <w:rsid w:val="00202425"/>
    <w:rsid w:val="00202F89"/>
    <w:rsid w:val="0020347E"/>
    <w:rsid w:val="00203869"/>
    <w:rsid w:val="00203B0A"/>
    <w:rsid w:val="00204356"/>
    <w:rsid w:val="00204AEE"/>
    <w:rsid w:val="00204F57"/>
    <w:rsid w:val="002052F9"/>
    <w:rsid w:val="002053AB"/>
    <w:rsid w:val="00205978"/>
    <w:rsid w:val="0020664A"/>
    <w:rsid w:val="002077D4"/>
    <w:rsid w:val="00211BAA"/>
    <w:rsid w:val="002124BC"/>
    <w:rsid w:val="0021274D"/>
    <w:rsid w:val="002128A1"/>
    <w:rsid w:val="00212B5E"/>
    <w:rsid w:val="00212FB7"/>
    <w:rsid w:val="00213747"/>
    <w:rsid w:val="00213A5C"/>
    <w:rsid w:val="00213AB9"/>
    <w:rsid w:val="00213D88"/>
    <w:rsid w:val="00214082"/>
    <w:rsid w:val="00214949"/>
    <w:rsid w:val="00214F1C"/>
    <w:rsid w:val="00215185"/>
    <w:rsid w:val="0021562B"/>
    <w:rsid w:val="002156B6"/>
    <w:rsid w:val="002173B2"/>
    <w:rsid w:val="002179D9"/>
    <w:rsid w:val="00220581"/>
    <w:rsid w:val="00220946"/>
    <w:rsid w:val="0022140C"/>
    <w:rsid w:val="002217C0"/>
    <w:rsid w:val="00222043"/>
    <w:rsid w:val="002222FE"/>
    <w:rsid w:val="002224A4"/>
    <w:rsid w:val="00223041"/>
    <w:rsid w:val="00223502"/>
    <w:rsid w:val="002240EC"/>
    <w:rsid w:val="00224A18"/>
    <w:rsid w:val="00224ECE"/>
    <w:rsid w:val="00225464"/>
    <w:rsid w:val="00225887"/>
    <w:rsid w:val="002259FD"/>
    <w:rsid w:val="00225F51"/>
    <w:rsid w:val="00226573"/>
    <w:rsid w:val="00226C4C"/>
    <w:rsid w:val="00227032"/>
    <w:rsid w:val="00230548"/>
    <w:rsid w:val="00231118"/>
    <w:rsid w:val="00231550"/>
    <w:rsid w:val="00231B4E"/>
    <w:rsid w:val="00231D56"/>
    <w:rsid w:val="002321CC"/>
    <w:rsid w:val="002330DB"/>
    <w:rsid w:val="00236EB8"/>
    <w:rsid w:val="002370ED"/>
    <w:rsid w:val="00237327"/>
    <w:rsid w:val="00237425"/>
    <w:rsid w:val="0023798C"/>
    <w:rsid w:val="00240719"/>
    <w:rsid w:val="00240DCA"/>
    <w:rsid w:val="00242715"/>
    <w:rsid w:val="002437DC"/>
    <w:rsid w:val="00243C55"/>
    <w:rsid w:val="0024402B"/>
    <w:rsid w:val="00245063"/>
    <w:rsid w:val="00246535"/>
    <w:rsid w:val="002479DB"/>
    <w:rsid w:val="00247B08"/>
    <w:rsid w:val="00247D93"/>
    <w:rsid w:val="00250709"/>
    <w:rsid w:val="002514AB"/>
    <w:rsid w:val="00251DA6"/>
    <w:rsid w:val="00251E82"/>
    <w:rsid w:val="00253160"/>
    <w:rsid w:val="002536E7"/>
    <w:rsid w:val="00253BFF"/>
    <w:rsid w:val="0025490D"/>
    <w:rsid w:val="00254B06"/>
    <w:rsid w:val="00254C0F"/>
    <w:rsid w:val="00255861"/>
    <w:rsid w:val="00255B5F"/>
    <w:rsid w:val="00255D71"/>
    <w:rsid w:val="00256762"/>
    <w:rsid w:val="00257E2F"/>
    <w:rsid w:val="00260F97"/>
    <w:rsid w:val="00261466"/>
    <w:rsid w:val="00261915"/>
    <w:rsid w:val="00261EB6"/>
    <w:rsid w:val="00262047"/>
    <w:rsid w:val="002625C4"/>
    <w:rsid w:val="00262E5E"/>
    <w:rsid w:val="002649DA"/>
    <w:rsid w:val="00264FD1"/>
    <w:rsid w:val="002656A1"/>
    <w:rsid w:val="00265ED7"/>
    <w:rsid w:val="0026682A"/>
    <w:rsid w:val="00266F9D"/>
    <w:rsid w:val="00267A8B"/>
    <w:rsid w:val="00267E4D"/>
    <w:rsid w:val="002702E7"/>
    <w:rsid w:val="00270602"/>
    <w:rsid w:val="0027068A"/>
    <w:rsid w:val="00270B9D"/>
    <w:rsid w:val="002714F8"/>
    <w:rsid w:val="00271702"/>
    <w:rsid w:val="002725E7"/>
    <w:rsid w:val="00272901"/>
    <w:rsid w:val="002729EE"/>
    <w:rsid w:val="00272B45"/>
    <w:rsid w:val="00272B6E"/>
    <w:rsid w:val="0027309F"/>
    <w:rsid w:val="002733DB"/>
    <w:rsid w:val="00273607"/>
    <w:rsid w:val="00273728"/>
    <w:rsid w:val="00273911"/>
    <w:rsid w:val="00273DAE"/>
    <w:rsid w:val="002743A5"/>
    <w:rsid w:val="00275B5D"/>
    <w:rsid w:val="0027633D"/>
    <w:rsid w:val="0027638B"/>
    <w:rsid w:val="0027643E"/>
    <w:rsid w:val="002764CA"/>
    <w:rsid w:val="002767FB"/>
    <w:rsid w:val="00277FFE"/>
    <w:rsid w:val="00280113"/>
    <w:rsid w:val="002801B1"/>
    <w:rsid w:val="00280322"/>
    <w:rsid w:val="0028108D"/>
    <w:rsid w:val="00281A10"/>
    <w:rsid w:val="002820AC"/>
    <w:rsid w:val="00282402"/>
    <w:rsid w:val="00282F34"/>
    <w:rsid w:val="0028303C"/>
    <w:rsid w:val="00283374"/>
    <w:rsid w:val="002835AF"/>
    <w:rsid w:val="00284353"/>
    <w:rsid w:val="002844B5"/>
    <w:rsid w:val="00284B2D"/>
    <w:rsid w:val="002854AE"/>
    <w:rsid w:val="00285623"/>
    <w:rsid w:val="00285CCB"/>
    <w:rsid w:val="00286618"/>
    <w:rsid w:val="002867D3"/>
    <w:rsid w:val="00286B17"/>
    <w:rsid w:val="0028724F"/>
    <w:rsid w:val="0028739A"/>
    <w:rsid w:val="00290CB6"/>
    <w:rsid w:val="00290CBD"/>
    <w:rsid w:val="00291F3F"/>
    <w:rsid w:val="00293232"/>
    <w:rsid w:val="002943EC"/>
    <w:rsid w:val="00294D78"/>
    <w:rsid w:val="00295101"/>
    <w:rsid w:val="002971C2"/>
    <w:rsid w:val="0029736D"/>
    <w:rsid w:val="0029788B"/>
    <w:rsid w:val="002A0AEA"/>
    <w:rsid w:val="002A0DB1"/>
    <w:rsid w:val="002A1436"/>
    <w:rsid w:val="002A2CD1"/>
    <w:rsid w:val="002A30D6"/>
    <w:rsid w:val="002A497F"/>
    <w:rsid w:val="002A4AAD"/>
    <w:rsid w:val="002A4D58"/>
    <w:rsid w:val="002A5820"/>
    <w:rsid w:val="002A584A"/>
    <w:rsid w:val="002A59D1"/>
    <w:rsid w:val="002A5FD2"/>
    <w:rsid w:val="002A6C77"/>
    <w:rsid w:val="002A7757"/>
    <w:rsid w:val="002A78B6"/>
    <w:rsid w:val="002A7C5F"/>
    <w:rsid w:val="002B03D3"/>
    <w:rsid w:val="002B0FDE"/>
    <w:rsid w:val="002B103D"/>
    <w:rsid w:val="002B131A"/>
    <w:rsid w:val="002B1583"/>
    <w:rsid w:val="002B1FB2"/>
    <w:rsid w:val="002B260D"/>
    <w:rsid w:val="002B29CC"/>
    <w:rsid w:val="002B2DFB"/>
    <w:rsid w:val="002B3A88"/>
    <w:rsid w:val="002B442E"/>
    <w:rsid w:val="002B55AC"/>
    <w:rsid w:val="002B58C7"/>
    <w:rsid w:val="002B5E5B"/>
    <w:rsid w:val="002B704D"/>
    <w:rsid w:val="002B7CA2"/>
    <w:rsid w:val="002C0796"/>
    <w:rsid w:val="002C0D74"/>
    <w:rsid w:val="002C0D7E"/>
    <w:rsid w:val="002C0FD7"/>
    <w:rsid w:val="002C113E"/>
    <w:rsid w:val="002C144B"/>
    <w:rsid w:val="002C1471"/>
    <w:rsid w:val="002C15FD"/>
    <w:rsid w:val="002C1865"/>
    <w:rsid w:val="002C283A"/>
    <w:rsid w:val="002C3F1E"/>
    <w:rsid w:val="002C42E3"/>
    <w:rsid w:val="002C4B65"/>
    <w:rsid w:val="002C52FB"/>
    <w:rsid w:val="002C5665"/>
    <w:rsid w:val="002C66B9"/>
    <w:rsid w:val="002C6F0B"/>
    <w:rsid w:val="002C7048"/>
    <w:rsid w:val="002C76DD"/>
    <w:rsid w:val="002C798C"/>
    <w:rsid w:val="002D011C"/>
    <w:rsid w:val="002D05B7"/>
    <w:rsid w:val="002D08E5"/>
    <w:rsid w:val="002D0957"/>
    <w:rsid w:val="002D0A9F"/>
    <w:rsid w:val="002D0D78"/>
    <w:rsid w:val="002D10D2"/>
    <w:rsid w:val="002D1981"/>
    <w:rsid w:val="002D20DF"/>
    <w:rsid w:val="002D229D"/>
    <w:rsid w:val="002D23A7"/>
    <w:rsid w:val="002D2B74"/>
    <w:rsid w:val="002D3B13"/>
    <w:rsid w:val="002D47C8"/>
    <w:rsid w:val="002D48C9"/>
    <w:rsid w:val="002D4AB2"/>
    <w:rsid w:val="002D5914"/>
    <w:rsid w:val="002D6252"/>
    <w:rsid w:val="002D7B2B"/>
    <w:rsid w:val="002E0934"/>
    <w:rsid w:val="002E0A8B"/>
    <w:rsid w:val="002E0F77"/>
    <w:rsid w:val="002E1A89"/>
    <w:rsid w:val="002E2574"/>
    <w:rsid w:val="002E2BB7"/>
    <w:rsid w:val="002E40E3"/>
    <w:rsid w:val="002E44AF"/>
    <w:rsid w:val="002E47D3"/>
    <w:rsid w:val="002E53B0"/>
    <w:rsid w:val="002E5992"/>
    <w:rsid w:val="002E5F0F"/>
    <w:rsid w:val="002E6925"/>
    <w:rsid w:val="002E6CEE"/>
    <w:rsid w:val="002E7367"/>
    <w:rsid w:val="002E76FC"/>
    <w:rsid w:val="002F07B7"/>
    <w:rsid w:val="002F114A"/>
    <w:rsid w:val="002F16DD"/>
    <w:rsid w:val="002F192A"/>
    <w:rsid w:val="002F1CC3"/>
    <w:rsid w:val="002F1F2D"/>
    <w:rsid w:val="002F2F32"/>
    <w:rsid w:val="002F39D2"/>
    <w:rsid w:val="002F5B1F"/>
    <w:rsid w:val="002F63C5"/>
    <w:rsid w:val="002F66CF"/>
    <w:rsid w:val="002F67E9"/>
    <w:rsid w:val="002F6A08"/>
    <w:rsid w:val="00300B90"/>
    <w:rsid w:val="003015DE"/>
    <w:rsid w:val="00301AEA"/>
    <w:rsid w:val="00301CB5"/>
    <w:rsid w:val="00301E73"/>
    <w:rsid w:val="00302305"/>
    <w:rsid w:val="00303193"/>
    <w:rsid w:val="00303262"/>
    <w:rsid w:val="00304682"/>
    <w:rsid w:val="003052B6"/>
    <w:rsid w:val="003059AD"/>
    <w:rsid w:val="00305E9B"/>
    <w:rsid w:val="003062FB"/>
    <w:rsid w:val="00306C1E"/>
    <w:rsid w:val="0031093B"/>
    <w:rsid w:val="00310F7C"/>
    <w:rsid w:val="003112F3"/>
    <w:rsid w:val="00311F51"/>
    <w:rsid w:val="00312107"/>
    <w:rsid w:val="0031234F"/>
    <w:rsid w:val="0031291B"/>
    <w:rsid w:val="00312F4B"/>
    <w:rsid w:val="0031364C"/>
    <w:rsid w:val="0031370E"/>
    <w:rsid w:val="00314E26"/>
    <w:rsid w:val="003156BC"/>
    <w:rsid w:val="00315BF0"/>
    <w:rsid w:val="0031613B"/>
    <w:rsid w:val="00316171"/>
    <w:rsid w:val="003166A8"/>
    <w:rsid w:val="00316749"/>
    <w:rsid w:val="003168FC"/>
    <w:rsid w:val="00316A73"/>
    <w:rsid w:val="00316E7E"/>
    <w:rsid w:val="00317838"/>
    <w:rsid w:val="00317CA3"/>
    <w:rsid w:val="00320169"/>
    <w:rsid w:val="00320527"/>
    <w:rsid w:val="00320CAB"/>
    <w:rsid w:val="00321C61"/>
    <w:rsid w:val="00322773"/>
    <w:rsid w:val="00323197"/>
    <w:rsid w:val="003236CB"/>
    <w:rsid w:val="003241FF"/>
    <w:rsid w:val="003248FB"/>
    <w:rsid w:val="00324B84"/>
    <w:rsid w:val="00325379"/>
    <w:rsid w:val="003256F5"/>
    <w:rsid w:val="00325725"/>
    <w:rsid w:val="00326C50"/>
    <w:rsid w:val="00326DF2"/>
    <w:rsid w:val="00330147"/>
    <w:rsid w:val="00330157"/>
    <w:rsid w:val="0033126A"/>
    <w:rsid w:val="0033133C"/>
    <w:rsid w:val="0033210F"/>
    <w:rsid w:val="0033258A"/>
    <w:rsid w:val="0033276F"/>
    <w:rsid w:val="00332859"/>
    <w:rsid w:val="00332872"/>
    <w:rsid w:val="00333138"/>
    <w:rsid w:val="003333E8"/>
    <w:rsid w:val="00333663"/>
    <w:rsid w:val="00333893"/>
    <w:rsid w:val="0033395A"/>
    <w:rsid w:val="00333C23"/>
    <w:rsid w:val="0033480D"/>
    <w:rsid w:val="00334CF8"/>
    <w:rsid w:val="003352BF"/>
    <w:rsid w:val="00335873"/>
    <w:rsid w:val="003360B8"/>
    <w:rsid w:val="0033619D"/>
    <w:rsid w:val="00336854"/>
    <w:rsid w:val="00336F86"/>
    <w:rsid w:val="003373DB"/>
    <w:rsid w:val="00337F12"/>
    <w:rsid w:val="00337F9B"/>
    <w:rsid w:val="00340169"/>
    <w:rsid w:val="00340510"/>
    <w:rsid w:val="00340C1D"/>
    <w:rsid w:val="00341975"/>
    <w:rsid w:val="003421C0"/>
    <w:rsid w:val="00342210"/>
    <w:rsid w:val="0034290C"/>
    <w:rsid w:val="00342E79"/>
    <w:rsid w:val="00342EF9"/>
    <w:rsid w:val="0034351A"/>
    <w:rsid w:val="003436C8"/>
    <w:rsid w:val="00343FB9"/>
    <w:rsid w:val="0034507F"/>
    <w:rsid w:val="0034539B"/>
    <w:rsid w:val="003456C1"/>
    <w:rsid w:val="00345AAB"/>
    <w:rsid w:val="00347063"/>
    <w:rsid w:val="00347176"/>
    <w:rsid w:val="003471CB"/>
    <w:rsid w:val="0035001B"/>
    <w:rsid w:val="003500C9"/>
    <w:rsid w:val="00350430"/>
    <w:rsid w:val="00350501"/>
    <w:rsid w:val="00350B47"/>
    <w:rsid w:val="003515A4"/>
    <w:rsid w:val="00351826"/>
    <w:rsid w:val="00351C55"/>
    <w:rsid w:val="003527EE"/>
    <w:rsid w:val="00352EAE"/>
    <w:rsid w:val="00353A85"/>
    <w:rsid w:val="00353C76"/>
    <w:rsid w:val="00354140"/>
    <w:rsid w:val="0035554E"/>
    <w:rsid w:val="00355571"/>
    <w:rsid w:val="0035599C"/>
    <w:rsid w:val="0035626F"/>
    <w:rsid w:val="003562A7"/>
    <w:rsid w:val="00357198"/>
    <w:rsid w:val="00357AEB"/>
    <w:rsid w:val="0036096C"/>
    <w:rsid w:val="00360A13"/>
    <w:rsid w:val="00360E34"/>
    <w:rsid w:val="00361577"/>
    <w:rsid w:val="0036231E"/>
    <w:rsid w:val="00362A6B"/>
    <w:rsid w:val="00363542"/>
    <w:rsid w:val="003640F7"/>
    <w:rsid w:val="003641D9"/>
    <w:rsid w:val="00365322"/>
    <w:rsid w:val="0036654E"/>
    <w:rsid w:val="00366E99"/>
    <w:rsid w:val="003670A0"/>
    <w:rsid w:val="003677B6"/>
    <w:rsid w:val="00367980"/>
    <w:rsid w:val="00371637"/>
    <w:rsid w:val="00372861"/>
    <w:rsid w:val="00373D35"/>
    <w:rsid w:val="00373E32"/>
    <w:rsid w:val="003741EE"/>
    <w:rsid w:val="003749C2"/>
    <w:rsid w:val="00375F9C"/>
    <w:rsid w:val="003766EC"/>
    <w:rsid w:val="0037704B"/>
    <w:rsid w:val="00377416"/>
    <w:rsid w:val="00380124"/>
    <w:rsid w:val="00380317"/>
    <w:rsid w:val="00380A94"/>
    <w:rsid w:val="00380C93"/>
    <w:rsid w:val="00380F99"/>
    <w:rsid w:val="0038140A"/>
    <w:rsid w:val="00381B06"/>
    <w:rsid w:val="00381C0C"/>
    <w:rsid w:val="00382E29"/>
    <w:rsid w:val="0038307B"/>
    <w:rsid w:val="00383945"/>
    <w:rsid w:val="003840DD"/>
    <w:rsid w:val="00384230"/>
    <w:rsid w:val="003842A6"/>
    <w:rsid w:val="003845E7"/>
    <w:rsid w:val="003854B3"/>
    <w:rsid w:val="00385CDE"/>
    <w:rsid w:val="003861FB"/>
    <w:rsid w:val="00386483"/>
    <w:rsid w:val="003864F5"/>
    <w:rsid w:val="00387616"/>
    <w:rsid w:val="00387D62"/>
    <w:rsid w:val="0039012F"/>
    <w:rsid w:val="00391B18"/>
    <w:rsid w:val="00391C25"/>
    <w:rsid w:val="00391F0C"/>
    <w:rsid w:val="00392B82"/>
    <w:rsid w:val="00392E09"/>
    <w:rsid w:val="0039327F"/>
    <w:rsid w:val="003939A6"/>
    <w:rsid w:val="00393B4C"/>
    <w:rsid w:val="00394B3F"/>
    <w:rsid w:val="00394E28"/>
    <w:rsid w:val="00395415"/>
    <w:rsid w:val="00397322"/>
    <w:rsid w:val="003976D1"/>
    <w:rsid w:val="00397B12"/>
    <w:rsid w:val="003A0A36"/>
    <w:rsid w:val="003A0B62"/>
    <w:rsid w:val="003A15C2"/>
    <w:rsid w:val="003A33FA"/>
    <w:rsid w:val="003A375B"/>
    <w:rsid w:val="003A418B"/>
    <w:rsid w:val="003A433D"/>
    <w:rsid w:val="003A44DD"/>
    <w:rsid w:val="003A52C3"/>
    <w:rsid w:val="003A5D27"/>
    <w:rsid w:val="003A688B"/>
    <w:rsid w:val="003A7F78"/>
    <w:rsid w:val="003B06A6"/>
    <w:rsid w:val="003B0BAC"/>
    <w:rsid w:val="003B1336"/>
    <w:rsid w:val="003B1CE3"/>
    <w:rsid w:val="003B263F"/>
    <w:rsid w:val="003B2E3C"/>
    <w:rsid w:val="003B33A0"/>
    <w:rsid w:val="003B3CC5"/>
    <w:rsid w:val="003B416B"/>
    <w:rsid w:val="003B4316"/>
    <w:rsid w:val="003B4B70"/>
    <w:rsid w:val="003B543C"/>
    <w:rsid w:val="003B5551"/>
    <w:rsid w:val="003B5674"/>
    <w:rsid w:val="003B5DB3"/>
    <w:rsid w:val="003C0504"/>
    <w:rsid w:val="003C1A5D"/>
    <w:rsid w:val="003C1B41"/>
    <w:rsid w:val="003C1E0C"/>
    <w:rsid w:val="003C2E9D"/>
    <w:rsid w:val="003C3443"/>
    <w:rsid w:val="003C4735"/>
    <w:rsid w:val="003C4F9E"/>
    <w:rsid w:val="003C5BD9"/>
    <w:rsid w:val="003C694F"/>
    <w:rsid w:val="003C6B41"/>
    <w:rsid w:val="003C7089"/>
    <w:rsid w:val="003D033D"/>
    <w:rsid w:val="003D0AA3"/>
    <w:rsid w:val="003D1651"/>
    <w:rsid w:val="003D167A"/>
    <w:rsid w:val="003D1BC3"/>
    <w:rsid w:val="003D200A"/>
    <w:rsid w:val="003D2562"/>
    <w:rsid w:val="003D2AED"/>
    <w:rsid w:val="003D2BDE"/>
    <w:rsid w:val="003D3177"/>
    <w:rsid w:val="003D34C8"/>
    <w:rsid w:val="003D4957"/>
    <w:rsid w:val="003D4CFD"/>
    <w:rsid w:val="003D57CF"/>
    <w:rsid w:val="003D6726"/>
    <w:rsid w:val="003D6CA1"/>
    <w:rsid w:val="003D70BD"/>
    <w:rsid w:val="003D7859"/>
    <w:rsid w:val="003E09B1"/>
    <w:rsid w:val="003E0B90"/>
    <w:rsid w:val="003E148B"/>
    <w:rsid w:val="003E2857"/>
    <w:rsid w:val="003E2B37"/>
    <w:rsid w:val="003E3084"/>
    <w:rsid w:val="003E3468"/>
    <w:rsid w:val="003E38BC"/>
    <w:rsid w:val="003E4643"/>
    <w:rsid w:val="003E468D"/>
    <w:rsid w:val="003E46D9"/>
    <w:rsid w:val="003E477A"/>
    <w:rsid w:val="003E4999"/>
    <w:rsid w:val="003E4EDD"/>
    <w:rsid w:val="003E5A70"/>
    <w:rsid w:val="003E5DF4"/>
    <w:rsid w:val="003E5F0F"/>
    <w:rsid w:val="003E6C71"/>
    <w:rsid w:val="003E7D66"/>
    <w:rsid w:val="003F0C36"/>
    <w:rsid w:val="003F1173"/>
    <w:rsid w:val="003F3E76"/>
    <w:rsid w:val="003F47F0"/>
    <w:rsid w:val="003F48CF"/>
    <w:rsid w:val="003F4CA2"/>
    <w:rsid w:val="003F4E28"/>
    <w:rsid w:val="003F5BAA"/>
    <w:rsid w:val="003F5C20"/>
    <w:rsid w:val="003F637E"/>
    <w:rsid w:val="003F63B8"/>
    <w:rsid w:val="003F7500"/>
    <w:rsid w:val="003F7ACB"/>
    <w:rsid w:val="003F7EB4"/>
    <w:rsid w:val="00400688"/>
    <w:rsid w:val="0040085B"/>
    <w:rsid w:val="0040163E"/>
    <w:rsid w:val="004028D6"/>
    <w:rsid w:val="00402A24"/>
    <w:rsid w:val="00402B95"/>
    <w:rsid w:val="00402D7D"/>
    <w:rsid w:val="00403083"/>
    <w:rsid w:val="0040312F"/>
    <w:rsid w:val="00404A2B"/>
    <w:rsid w:val="0040504D"/>
    <w:rsid w:val="004052B4"/>
    <w:rsid w:val="00405F0C"/>
    <w:rsid w:val="004072FB"/>
    <w:rsid w:val="00407540"/>
    <w:rsid w:val="00407B98"/>
    <w:rsid w:val="00407DD4"/>
    <w:rsid w:val="00410064"/>
    <w:rsid w:val="00410764"/>
    <w:rsid w:val="004107A3"/>
    <w:rsid w:val="004108F0"/>
    <w:rsid w:val="00411018"/>
    <w:rsid w:val="00411639"/>
    <w:rsid w:val="00411707"/>
    <w:rsid w:val="00412466"/>
    <w:rsid w:val="00412E49"/>
    <w:rsid w:val="00413498"/>
    <w:rsid w:val="004135CD"/>
    <w:rsid w:val="00413764"/>
    <w:rsid w:val="00413C65"/>
    <w:rsid w:val="0041465D"/>
    <w:rsid w:val="004149B6"/>
    <w:rsid w:val="00414A3F"/>
    <w:rsid w:val="004150E0"/>
    <w:rsid w:val="0041707D"/>
    <w:rsid w:val="004179F6"/>
    <w:rsid w:val="00417B44"/>
    <w:rsid w:val="004200A6"/>
    <w:rsid w:val="00420125"/>
    <w:rsid w:val="004201E3"/>
    <w:rsid w:val="00420397"/>
    <w:rsid w:val="004209C7"/>
    <w:rsid w:val="00420D95"/>
    <w:rsid w:val="00421039"/>
    <w:rsid w:val="004219EA"/>
    <w:rsid w:val="004221E7"/>
    <w:rsid w:val="00423076"/>
    <w:rsid w:val="0042359B"/>
    <w:rsid w:val="0042380C"/>
    <w:rsid w:val="004239F5"/>
    <w:rsid w:val="00423EAF"/>
    <w:rsid w:val="00423F10"/>
    <w:rsid w:val="00424527"/>
    <w:rsid w:val="00426BD7"/>
    <w:rsid w:val="0042720E"/>
    <w:rsid w:val="004272E2"/>
    <w:rsid w:val="00427843"/>
    <w:rsid w:val="00430051"/>
    <w:rsid w:val="004310A7"/>
    <w:rsid w:val="00431EB8"/>
    <w:rsid w:val="0043228E"/>
    <w:rsid w:val="00432463"/>
    <w:rsid w:val="00432E55"/>
    <w:rsid w:val="00432FEE"/>
    <w:rsid w:val="00433257"/>
    <w:rsid w:val="004356B4"/>
    <w:rsid w:val="00436772"/>
    <w:rsid w:val="00436949"/>
    <w:rsid w:val="0043709F"/>
    <w:rsid w:val="00437420"/>
    <w:rsid w:val="00437B0C"/>
    <w:rsid w:val="00440124"/>
    <w:rsid w:val="0044194D"/>
    <w:rsid w:val="00441B19"/>
    <w:rsid w:val="004421D2"/>
    <w:rsid w:val="00443232"/>
    <w:rsid w:val="004435DF"/>
    <w:rsid w:val="004439B5"/>
    <w:rsid w:val="00443FC5"/>
    <w:rsid w:val="00444BB2"/>
    <w:rsid w:val="00444D21"/>
    <w:rsid w:val="00445BC6"/>
    <w:rsid w:val="00445D62"/>
    <w:rsid w:val="00446B02"/>
    <w:rsid w:val="00446E35"/>
    <w:rsid w:val="004471C9"/>
    <w:rsid w:val="004475C2"/>
    <w:rsid w:val="00447A1E"/>
    <w:rsid w:val="00447C3D"/>
    <w:rsid w:val="00447EE3"/>
    <w:rsid w:val="004501F4"/>
    <w:rsid w:val="004535B2"/>
    <w:rsid w:val="00453FC4"/>
    <w:rsid w:val="00453FE8"/>
    <w:rsid w:val="00454420"/>
    <w:rsid w:val="004545F3"/>
    <w:rsid w:val="00454916"/>
    <w:rsid w:val="00454A16"/>
    <w:rsid w:val="00455CB9"/>
    <w:rsid w:val="00455DF0"/>
    <w:rsid w:val="00455E8D"/>
    <w:rsid w:val="0045785E"/>
    <w:rsid w:val="004579B5"/>
    <w:rsid w:val="004604CD"/>
    <w:rsid w:val="00460D00"/>
    <w:rsid w:val="0046102C"/>
    <w:rsid w:val="004613A7"/>
    <w:rsid w:val="004615AC"/>
    <w:rsid w:val="00461D80"/>
    <w:rsid w:val="0046226E"/>
    <w:rsid w:val="00462B83"/>
    <w:rsid w:val="00462D9D"/>
    <w:rsid w:val="0046312E"/>
    <w:rsid w:val="00463178"/>
    <w:rsid w:val="004636A5"/>
    <w:rsid w:val="00463C3E"/>
    <w:rsid w:val="00463D77"/>
    <w:rsid w:val="00464D3F"/>
    <w:rsid w:val="0046512F"/>
    <w:rsid w:val="00465B96"/>
    <w:rsid w:val="004667B4"/>
    <w:rsid w:val="004674AD"/>
    <w:rsid w:val="0046750C"/>
    <w:rsid w:val="0047092B"/>
    <w:rsid w:val="004709BD"/>
    <w:rsid w:val="00470E70"/>
    <w:rsid w:val="00471414"/>
    <w:rsid w:val="00471B03"/>
    <w:rsid w:val="00471D87"/>
    <w:rsid w:val="00471D92"/>
    <w:rsid w:val="00471E8F"/>
    <w:rsid w:val="00471EDD"/>
    <w:rsid w:val="00472503"/>
    <w:rsid w:val="0047293F"/>
    <w:rsid w:val="00472AAD"/>
    <w:rsid w:val="00472D3E"/>
    <w:rsid w:val="004733A3"/>
    <w:rsid w:val="00473540"/>
    <w:rsid w:val="0047380A"/>
    <w:rsid w:val="00473CE2"/>
    <w:rsid w:val="00474C30"/>
    <w:rsid w:val="00475312"/>
    <w:rsid w:val="00475951"/>
    <w:rsid w:val="0047651A"/>
    <w:rsid w:val="00477467"/>
    <w:rsid w:val="004775B9"/>
    <w:rsid w:val="00477BCF"/>
    <w:rsid w:val="00477C26"/>
    <w:rsid w:val="00477F8D"/>
    <w:rsid w:val="00480CE4"/>
    <w:rsid w:val="004824B6"/>
    <w:rsid w:val="004838D6"/>
    <w:rsid w:val="00484B3D"/>
    <w:rsid w:val="00484C4D"/>
    <w:rsid w:val="004853F8"/>
    <w:rsid w:val="0048748D"/>
    <w:rsid w:val="004874A2"/>
    <w:rsid w:val="004874E0"/>
    <w:rsid w:val="004907FD"/>
    <w:rsid w:val="00490C01"/>
    <w:rsid w:val="004924DC"/>
    <w:rsid w:val="00492581"/>
    <w:rsid w:val="004925D3"/>
    <w:rsid w:val="0049310C"/>
    <w:rsid w:val="0049358C"/>
    <w:rsid w:val="00494293"/>
    <w:rsid w:val="00494940"/>
    <w:rsid w:val="00494C9A"/>
    <w:rsid w:val="00494DBE"/>
    <w:rsid w:val="00495717"/>
    <w:rsid w:val="00495F76"/>
    <w:rsid w:val="0049604A"/>
    <w:rsid w:val="004960A7"/>
    <w:rsid w:val="00496490"/>
    <w:rsid w:val="00496F13"/>
    <w:rsid w:val="004973D2"/>
    <w:rsid w:val="004A011D"/>
    <w:rsid w:val="004A0670"/>
    <w:rsid w:val="004A08F6"/>
    <w:rsid w:val="004A1094"/>
    <w:rsid w:val="004A1105"/>
    <w:rsid w:val="004A1DE7"/>
    <w:rsid w:val="004A2389"/>
    <w:rsid w:val="004A32F9"/>
    <w:rsid w:val="004A3F0D"/>
    <w:rsid w:val="004A43D5"/>
    <w:rsid w:val="004A4531"/>
    <w:rsid w:val="004A456A"/>
    <w:rsid w:val="004A48EE"/>
    <w:rsid w:val="004A561B"/>
    <w:rsid w:val="004A64A5"/>
    <w:rsid w:val="004A64FD"/>
    <w:rsid w:val="004A6556"/>
    <w:rsid w:val="004A66DF"/>
    <w:rsid w:val="004A6D09"/>
    <w:rsid w:val="004B0AB0"/>
    <w:rsid w:val="004B0AD5"/>
    <w:rsid w:val="004B16CB"/>
    <w:rsid w:val="004B22C8"/>
    <w:rsid w:val="004B2B37"/>
    <w:rsid w:val="004B3192"/>
    <w:rsid w:val="004B37CC"/>
    <w:rsid w:val="004B4DAA"/>
    <w:rsid w:val="004B51B0"/>
    <w:rsid w:val="004B520B"/>
    <w:rsid w:val="004B6A9E"/>
    <w:rsid w:val="004B6FA2"/>
    <w:rsid w:val="004B7348"/>
    <w:rsid w:val="004B7832"/>
    <w:rsid w:val="004B7B40"/>
    <w:rsid w:val="004C037F"/>
    <w:rsid w:val="004C0D31"/>
    <w:rsid w:val="004C0F71"/>
    <w:rsid w:val="004C118C"/>
    <w:rsid w:val="004C125C"/>
    <w:rsid w:val="004C1599"/>
    <w:rsid w:val="004C1997"/>
    <w:rsid w:val="004C1BEB"/>
    <w:rsid w:val="004C3840"/>
    <w:rsid w:val="004C4456"/>
    <w:rsid w:val="004C4FD0"/>
    <w:rsid w:val="004C509C"/>
    <w:rsid w:val="004C5726"/>
    <w:rsid w:val="004C5A70"/>
    <w:rsid w:val="004C63B5"/>
    <w:rsid w:val="004C6784"/>
    <w:rsid w:val="004C7318"/>
    <w:rsid w:val="004D01A8"/>
    <w:rsid w:val="004D06ED"/>
    <w:rsid w:val="004D2E2D"/>
    <w:rsid w:val="004D33A1"/>
    <w:rsid w:val="004D34ED"/>
    <w:rsid w:val="004D37AB"/>
    <w:rsid w:val="004D3CD9"/>
    <w:rsid w:val="004D4857"/>
    <w:rsid w:val="004D4FCC"/>
    <w:rsid w:val="004D52DF"/>
    <w:rsid w:val="004D53BF"/>
    <w:rsid w:val="004D540D"/>
    <w:rsid w:val="004D59CB"/>
    <w:rsid w:val="004D5F57"/>
    <w:rsid w:val="004D618C"/>
    <w:rsid w:val="004D6D71"/>
    <w:rsid w:val="004D7FDF"/>
    <w:rsid w:val="004E0465"/>
    <w:rsid w:val="004E0597"/>
    <w:rsid w:val="004E068F"/>
    <w:rsid w:val="004E0AD9"/>
    <w:rsid w:val="004E0D68"/>
    <w:rsid w:val="004E1EE5"/>
    <w:rsid w:val="004E229F"/>
    <w:rsid w:val="004E2528"/>
    <w:rsid w:val="004E26C4"/>
    <w:rsid w:val="004E27BC"/>
    <w:rsid w:val="004E2AD4"/>
    <w:rsid w:val="004E2B4C"/>
    <w:rsid w:val="004E2EB4"/>
    <w:rsid w:val="004E302E"/>
    <w:rsid w:val="004E4346"/>
    <w:rsid w:val="004E5AF1"/>
    <w:rsid w:val="004E6D1A"/>
    <w:rsid w:val="004E73A3"/>
    <w:rsid w:val="004E7A07"/>
    <w:rsid w:val="004E7D95"/>
    <w:rsid w:val="004F01D2"/>
    <w:rsid w:val="004F15A6"/>
    <w:rsid w:val="004F1C30"/>
    <w:rsid w:val="004F2A17"/>
    <w:rsid w:val="004F2FF1"/>
    <w:rsid w:val="004F3381"/>
    <w:rsid w:val="004F34BA"/>
    <w:rsid w:val="004F4007"/>
    <w:rsid w:val="004F4669"/>
    <w:rsid w:val="004F4F95"/>
    <w:rsid w:val="004F6494"/>
    <w:rsid w:val="004F670D"/>
    <w:rsid w:val="004F7C3A"/>
    <w:rsid w:val="0050133E"/>
    <w:rsid w:val="005018CD"/>
    <w:rsid w:val="00501C79"/>
    <w:rsid w:val="0050256F"/>
    <w:rsid w:val="00502E3A"/>
    <w:rsid w:val="00503353"/>
    <w:rsid w:val="00505B83"/>
    <w:rsid w:val="0050607B"/>
    <w:rsid w:val="00506570"/>
    <w:rsid w:val="005067DF"/>
    <w:rsid w:val="00506AA0"/>
    <w:rsid w:val="00506C46"/>
    <w:rsid w:val="005076B9"/>
    <w:rsid w:val="0050771A"/>
    <w:rsid w:val="0050775C"/>
    <w:rsid w:val="005079B2"/>
    <w:rsid w:val="00507CE3"/>
    <w:rsid w:val="00507FD4"/>
    <w:rsid w:val="00510978"/>
    <w:rsid w:val="00510B70"/>
    <w:rsid w:val="00510EDF"/>
    <w:rsid w:val="00510FBD"/>
    <w:rsid w:val="005114B3"/>
    <w:rsid w:val="00511727"/>
    <w:rsid w:val="005119A0"/>
    <w:rsid w:val="00511AF4"/>
    <w:rsid w:val="00511C70"/>
    <w:rsid w:val="00511F8E"/>
    <w:rsid w:val="005126ED"/>
    <w:rsid w:val="005128F9"/>
    <w:rsid w:val="005130CB"/>
    <w:rsid w:val="00513620"/>
    <w:rsid w:val="005139CE"/>
    <w:rsid w:val="00513F20"/>
    <w:rsid w:val="0051405D"/>
    <w:rsid w:val="0051499A"/>
    <w:rsid w:val="00514D74"/>
    <w:rsid w:val="00514EEB"/>
    <w:rsid w:val="00515362"/>
    <w:rsid w:val="00515C18"/>
    <w:rsid w:val="00515D57"/>
    <w:rsid w:val="00515DAA"/>
    <w:rsid w:val="0051607E"/>
    <w:rsid w:val="00517CAE"/>
    <w:rsid w:val="00517EA1"/>
    <w:rsid w:val="00520BC0"/>
    <w:rsid w:val="00520D06"/>
    <w:rsid w:val="00520D4B"/>
    <w:rsid w:val="00521064"/>
    <w:rsid w:val="005214B4"/>
    <w:rsid w:val="00521BA8"/>
    <w:rsid w:val="00522210"/>
    <w:rsid w:val="00522220"/>
    <w:rsid w:val="00522D15"/>
    <w:rsid w:val="00522F91"/>
    <w:rsid w:val="0052301E"/>
    <w:rsid w:val="00523E66"/>
    <w:rsid w:val="0052408A"/>
    <w:rsid w:val="0052417B"/>
    <w:rsid w:val="00524575"/>
    <w:rsid w:val="005254CB"/>
    <w:rsid w:val="00525D92"/>
    <w:rsid w:val="00525E53"/>
    <w:rsid w:val="0052604B"/>
    <w:rsid w:val="005261A5"/>
    <w:rsid w:val="0052663F"/>
    <w:rsid w:val="00526E1C"/>
    <w:rsid w:val="0052745B"/>
    <w:rsid w:val="00531566"/>
    <w:rsid w:val="005315FE"/>
    <w:rsid w:val="005323C2"/>
    <w:rsid w:val="00532E61"/>
    <w:rsid w:val="0053358A"/>
    <w:rsid w:val="005339AC"/>
    <w:rsid w:val="00533CF6"/>
    <w:rsid w:val="00535303"/>
    <w:rsid w:val="005353D3"/>
    <w:rsid w:val="005354C8"/>
    <w:rsid w:val="00535923"/>
    <w:rsid w:val="00535CCB"/>
    <w:rsid w:val="005367DF"/>
    <w:rsid w:val="00536BFD"/>
    <w:rsid w:val="00537EFC"/>
    <w:rsid w:val="00540041"/>
    <w:rsid w:val="0054004A"/>
    <w:rsid w:val="00540206"/>
    <w:rsid w:val="005408E6"/>
    <w:rsid w:val="00540E7C"/>
    <w:rsid w:val="0054150B"/>
    <w:rsid w:val="00541B5A"/>
    <w:rsid w:val="00541F54"/>
    <w:rsid w:val="0054201E"/>
    <w:rsid w:val="0054244B"/>
    <w:rsid w:val="00542584"/>
    <w:rsid w:val="00542C2C"/>
    <w:rsid w:val="00543AE1"/>
    <w:rsid w:val="00543D4C"/>
    <w:rsid w:val="00544BF9"/>
    <w:rsid w:val="0054578B"/>
    <w:rsid w:val="00546669"/>
    <w:rsid w:val="005469B4"/>
    <w:rsid w:val="00546E9E"/>
    <w:rsid w:val="00547369"/>
    <w:rsid w:val="0054769B"/>
    <w:rsid w:val="00547EFD"/>
    <w:rsid w:val="00547F2F"/>
    <w:rsid w:val="00550589"/>
    <w:rsid w:val="00550B87"/>
    <w:rsid w:val="005511B7"/>
    <w:rsid w:val="00553D85"/>
    <w:rsid w:val="00553F74"/>
    <w:rsid w:val="0055441E"/>
    <w:rsid w:val="00554763"/>
    <w:rsid w:val="00554CD9"/>
    <w:rsid w:val="00555873"/>
    <w:rsid w:val="00555BA3"/>
    <w:rsid w:val="00556218"/>
    <w:rsid w:val="005566A1"/>
    <w:rsid w:val="00556BBF"/>
    <w:rsid w:val="005571F0"/>
    <w:rsid w:val="00557323"/>
    <w:rsid w:val="005604F5"/>
    <w:rsid w:val="0056083B"/>
    <w:rsid w:val="00560B87"/>
    <w:rsid w:val="00561072"/>
    <w:rsid w:val="005613FD"/>
    <w:rsid w:val="00561676"/>
    <w:rsid w:val="00561BF0"/>
    <w:rsid w:val="00561F6E"/>
    <w:rsid w:val="005629FA"/>
    <w:rsid w:val="0056373C"/>
    <w:rsid w:val="005638C3"/>
    <w:rsid w:val="00563DCC"/>
    <w:rsid w:val="005650A9"/>
    <w:rsid w:val="0056538C"/>
    <w:rsid w:val="0056569A"/>
    <w:rsid w:val="005659EF"/>
    <w:rsid w:val="005663C3"/>
    <w:rsid w:val="005671BB"/>
    <w:rsid w:val="00567434"/>
    <w:rsid w:val="00567BED"/>
    <w:rsid w:val="005702A2"/>
    <w:rsid w:val="00570708"/>
    <w:rsid w:val="005712FF"/>
    <w:rsid w:val="00571853"/>
    <w:rsid w:val="00571B75"/>
    <w:rsid w:val="00573372"/>
    <w:rsid w:val="00573A4A"/>
    <w:rsid w:val="00573A9F"/>
    <w:rsid w:val="00573B9D"/>
    <w:rsid w:val="005740C4"/>
    <w:rsid w:val="00574C57"/>
    <w:rsid w:val="00574F66"/>
    <w:rsid w:val="005765C4"/>
    <w:rsid w:val="00576C73"/>
    <w:rsid w:val="00580198"/>
    <w:rsid w:val="00581CA6"/>
    <w:rsid w:val="00582865"/>
    <w:rsid w:val="00583663"/>
    <w:rsid w:val="00583BAB"/>
    <w:rsid w:val="00584BA0"/>
    <w:rsid w:val="0058520E"/>
    <w:rsid w:val="0058543E"/>
    <w:rsid w:val="005859C8"/>
    <w:rsid w:val="005859D3"/>
    <w:rsid w:val="0058621B"/>
    <w:rsid w:val="0058636E"/>
    <w:rsid w:val="005867E6"/>
    <w:rsid w:val="005873C2"/>
    <w:rsid w:val="0058740A"/>
    <w:rsid w:val="005876AA"/>
    <w:rsid w:val="0058794D"/>
    <w:rsid w:val="00587BFC"/>
    <w:rsid w:val="00587CCD"/>
    <w:rsid w:val="00590534"/>
    <w:rsid w:val="0059057E"/>
    <w:rsid w:val="00590D55"/>
    <w:rsid w:val="00590DCE"/>
    <w:rsid w:val="00593276"/>
    <w:rsid w:val="00594526"/>
    <w:rsid w:val="00595A24"/>
    <w:rsid w:val="00595F69"/>
    <w:rsid w:val="00595FF8"/>
    <w:rsid w:val="0059657C"/>
    <w:rsid w:val="00596A04"/>
    <w:rsid w:val="00596F37"/>
    <w:rsid w:val="005A02EF"/>
    <w:rsid w:val="005A09BE"/>
    <w:rsid w:val="005A09D1"/>
    <w:rsid w:val="005A100C"/>
    <w:rsid w:val="005A25A4"/>
    <w:rsid w:val="005A3020"/>
    <w:rsid w:val="005A3B1C"/>
    <w:rsid w:val="005A4093"/>
    <w:rsid w:val="005A40F3"/>
    <w:rsid w:val="005A45A1"/>
    <w:rsid w:val="005A4FFA"/>
    <w:rsid w:val="005A5219"/>
    <w:rsid w:val="005A6186"/>
    <w:rsid w:val="005A6BEA"/>
    <w:rsid w:val="005A7892"/>
    <w:rsid w:val="005A7A11"/>
    <w:rsid w:val="005A7D83"/>
    <w:rsid w:val="005B14BA"/>
    <w:rsid w:val="005B15B5"/>
    <w:rsid w:val="005B1AE0"/>
    <w:rsid w:val="005B20B7"/>
    <w:rsid w:val="005B2555"/>
    <w:rsid w:val="005B29CA"/>
    <w:rsid w:val="005B2CA8"/>
    <w:rsid w:val="005B34BE"/>
    <w:rsid w:val="005B3625"/>
    <w:rsid w:val="005B36DA"/>
    <w:rsid w:val="005B37C7"/>
    <w:rsid w:val="005B3A11"/>
    <w:rsid w:val="005B3DF1"/>
    <w:rsid w:val="005B551A"/>
    <w:rsid w:val="005B5C33"/>
    <w:rsid w:val="005B5FAC"/>
    <w:rsid w:val="005B64C0"/>
    <w:rsid w:val="005B7A0D"/>
    <w:rsid w:val="005B7AF5"/>
    <w:rsid w:val="005B7B68"/>
    <w:rsid w:val="005B7D21"/>
    <w:rsid w:val="005C0159"/>
    <w:rsid w:val="005C0A58"/>
    <w:rsid w:val="005C0ABD"/>
    <w:rsid w:val="005C0BE4"/>
    <w:rsid w:val="005C0FC1"/>
    <w:rsid w:val="005C1357"/>
    <w:rsid w:val="005C173F"/>
    <w:rsid w:val="005C2295"/>
    <w:rsid w:val="005C3382"/>
    <w:rsid w:val="005C34E8"/>
    <w:rsid w:val="005C3B61"/>
    <w:rsid w:val="005C416B"/>
    <w:rsid w:val="005C4FA5"/>
    <w:rsid w:val="005C56AC"/>
    <w:rsid w:val="005C5709"/>
    <w:rsid w:val="005C5BD5"/>
    <w:rsid w:val="005C5D95"/>
    <w:rsid w:val="005C5FFD"/>
    <w:rsid w:val="005C6474"/>
    <w:rsid w:val="005C64D5"/>
    <w:rsid w:val="005C6884"/>
    <w:rsid w:val="005C6E07"/>
    <w:rsid w:val="005C6EE8"/>
    <w:rsid w:val="005C72E6"/>
    <w:rsid w:val="005C75EA"/>
    <w:rsid w:val="005C7C6E"/>
    <w:rsid w:val="005C7C82"/>
    <w:rsid w:val="005C7F00"/>
    <w:rsid w:val="005D026E"/>
    <w:rsid w:val="005D0A4B"/>
    <w:rsid w:val="005D1516"/>
    <w:rsid w:val="005D1525"/>
    <w:rsid w:val="005D1A36"/>
    <w:rsid w:val="005D259A"/>
    <w:rsid w:val="005D29C4"/>
    <w:rsid w:val="005D2D63"/>
    <w:rsid w:val="005D2E03"/>
    <w:rsid w:val="005D34C8"/>
    <w:rsid w:val="005D3751"/>
    <w:rsid w:val="005D384F"/>
    <w:rsid w:val="005D3A17"/>
    <w:rsid w:val="005D3B4E"/>
    <w:rsid w:val="005D3DDA"/>
    <w:rsid w:val="005D4379"/>
    <w:rsid w:val="005D446E"/>
    <w:rsid w:val="005D451D"/>
    <w:rsid w:val="005D4723"/>
    <w:rsid w:val="005D492B"/>
    <w:rsid w:val="005D653E"/>
    <w:rsid w:val="005D6806"/>
    <w:rsid w:val="005D6946"/>
    <w:rsid w:val="005D6DF0"/>
    <w:rsid w:val="005E1804"/>
    <w:rsid w:val="005E1C1E"/>
    <w:rsid w:val="005E3AC4"/>
    <w:rsid w:val="005E3DF4"/>
    <w:rsid w:val="005E4213"/>
    <w:rsid w:val="005E5FEA"/>
    <w:rsid w:val="005E6179"/>
    <w:rsid w:val="005E6374"/>
    <w:rsid w:val="005E6E0F"/>
    <w:rsid w:val="005E7451"/>
    <w:rsid w:val="005F028B"/>
    <w:rsid w:val="005F03A4"/>
    <w:rsid w:val="005F055A"/>
    <w:rsid w:val="005F0E9B"/>
    <w:rsid w:val="005F0F90"/>
    <w:rsid w:val="005F1793"/>
    <w:rsid w:val="005F1863"/>
    <w:rsid w:val="005F271B"/>
    <w:rsid w:val="005F2D82"/>
    <w:rsid w:val="005F2E15"/>
    <w:rsid w:val="005F3178"/>
    <w:rsid w:val="005F3B25"/>
    <w:rsid w:val="005F3C65"/>
    <w:rsid w:val="005F4576"/>
    <w:rsid w:val="005F4FA7"/>
    <w:rsid w:val="005F511E"/>
    <w:rsid w:val="005F643C"/>
    <w:rsid w:val="005F6D1C"/>
    <w:rsid w:val="005F6F21"/>
    <w:rsid w:val="005F7CC2"/>
    <w:rsid w:val="005F7DA7"/>
    <w:rsid w:val="005F7EF8"/>
    <w:rsid w:val="0060063B"/>
    <w:rsid w:val="006009EC"/>
    <w:rsid w:val="006014F1"/>
    <w:rsid w:val="00601F27"/>
    <w:rsid w:val="006020A2"/>
    <w:rsid w:val="0060227D"/>
    <w:rsid w:val="00602B47"/>
    <w:rsid w:val="00603A2B"/>
    <w:rsid w:val="00603D31"/>
    <w:rsid w:val="00603F29"/>
    <w:rsid w:val="0060449D"/>
    <w:rsid w:val="00604DBB"/>
    <w:rsid w:val="006050D0"/>
    <w:rsid w:val="00605156"/>
    <w:rsid w:val="006051B9"/>
    <w:rsid w:val="00605416"/>
    <w:rsid w:val="0060545A"/>
    <w:rsid w:val="00606AB2"/>
    <w:rsid w:val="006072F4"/>
    <w:rsid w:val="00610D3A"/>
    <w:rsid w:val="006128F8"/>
    <w:rsid w:val="00614686"/>
    <w:rsid w:val="00614CAA"/>
    <w:rsid w:val="00615516"/>
    <w:rsid w:val="00615813"/>
    <w:rsid w:val="0061644F"/>
    <w:rsid w:val="006168D9"/>
    <w:rsid w:val="00616C6F"/>
    <w:rsid w:val="006173D8"/>
    <w:rsid w:val="00617502"/>
    <w:rsid w:val="006208A5"/>
    <w:rsid w:val="00621CC1"/>
    <w:rsid w:val="00622455"/>
    <w:rsid w:val="00622977"/>
    <w:rsid w:val="00622990"/>
    <w:rsid w:val="006233B2"/>
    <w:rsid w:val="00623686"/>
    <w:rsid w:val="006242DA"/>
    <w:rsid w:val="00624641"/>
    <w:rsid w:val="0062497E"/>
    <w:rsid w:val="00624B34"/>
    <w:rsid w:val="00624DA0"/>
    <w:rsid w:val="00625AAB"/>
    <w:rsid w:val="00625BBD"/>
    <w:rsid w:val="00625C26"/>
    <w:rsid w:val="00625F2E"/>
    <w:rsid w:val="00625FD6"/>
    <w:rsid w:val="00626C2D"/>
    <w:rsid w:val="00626E66"/>
    <w:rsid w:val="006272A3"/>
    <w:rsid w:val="00630073"/>
    <w:rsid w:val="0063048D"/>
    <w:rsid w:val="00630A27"/>
    <w:rsid w:val="00630E8F"/>
    <w:rsid w:val="00630F4A"/>
    <w:rsid w:val="00631A90"/>
    <w:rsid w:val="00632680"/>
    <w:rsid w:val="00632EFF"/>
    <w:rsid w:val="00633D7D"/>
    <w:rsid w:val="00634D09"/>
    <w:rsid w:val="00635299"/>
    <w:rsid w:val="00636903"/>
    <w:rsid w:val="00636A12"/>
    <w:rsid w:val="00637B65"/>
    <w:rsid w:val="00637F49"/>
    <w:rsid w:val="0064021E"/>
    <w:rsid w:val="00640755"/>
    <w:rsid w:val="00641C2E"/>
    <w:rsid w:val="00642386"/>
    <w:rsid w:val="006437F2"/>
    <w:rsid w:val="00644D4F"/>
    <w:rsid w:val="00645007"/>
    <w:rsid w:val="0064559B"/>
    <w:rsid w:val="0064567C"/>
    <w:rsid w:val="00645B46"/>
    <w:rsid w:val="006462B2"/>
    <w:rsid w:val="006462CF"/>
    <w:rsid w:val="00646499"/>
    <w:rsid w:val="006469DA"/>
    <w:rsid w:val="00647C1E"/>
    <w:rsid w:val="00647DC2"/>
    <w:rsid w:val="00647EE8"/>
    <w:rsid w:val="00650162"/>
    <w:rsid w:val="006514F9"/>
    <w:rsid w:val="0065176C"/>
    <w:rsid w:val="0065189A"/>
    <w:rsid w:val="006522A9"/>
    <w:rsid w:val="006522D9"/>
    <w:rsid w:val="00653E11"/>
    <w:rsid w:val="0065451F"/>
    <w:rsid w:val="00654C98"/>
    <w:rsid w:val="0065528C"/>
    <w:rsid w:val="00655DBA"/>
    <w:rsid w:val="00656B80"/>
    <w:rsid w:val="00656BF1"/>
    <w:rsid w:val="00656C08"/>
    <w:rsid w:val="006574CD"/>
    <w:rsid w:val="006600A2"/>
    <w:rsid w:val="006609EE"/>
    <w:rsid w:val="00661606"/>
    <w:rsid w:val="00661F0E"/>
    <w:rsid w:val="00662665"/>
    <w:rsid w:val="00662C37"/>
    <w:rsid w:val="006635A8"/>
    <w:rsid w:val="0066391B"/>
    <w:rsid w:val="00664207"/>
    <w:rsid w:val="00664469"/>
    <w:rsid w:val="0066474E"/>
    <w:rsid w:val="0066527F"/>
    <w:rsid w:val="0066583B"/>
    <w:rsid w:val="00666377"/>
    <w:rsid w:val="006667A4"/>
    <w:rsid w:val="00666FBA"/>
    <w:rsid w:val="00667931"/>
    <w:rsid w:val="006679BE"/>
    <w:rsid w:val="006679D7"/>
    <w:rsid w:val="006679F8"/>
    <w:rsid w:val="00667BAD"/>
    <w:rsid w:val="00667EFB"/>
    <w:rsid w:val="00670589"/>
    <w:rsid w:val="00670C42"/>
    <w:rsid w:val="0067199A"/>
    <w:rsid w:val="0067211D"/>
    <w:rsid w:val="006723FC"/>
    <w:rsid w:val="00672BC7"/>
    <w:rsid w:val="00672E73"/>
    <w:rsid w:val="006737DB"/>
    <w:rsid w:val="00673D6B"/>
    <w:rsid w:val="00673EB6"/>
    <w:rsid w:val="00674004"/>
    <w:rsid w:val="00674553"/>
    <w:rsid w:val="00674DB0"/>
    <w:rsid w:val="00674DF9"/>
    <w:rsid w:val="0067554A"/>
    <w:rsid w:val="0067614D"/>
    <w:rsid w:val="006762CB"/>
    <w:rsid w:val="00676A29"/>
    <w:rsid w:val="006774DE"/>
    <w:rsid w:val="0068074E"/>
    <w:rsid w:val="00680941"/>
    <w:rsid w:val="00680971"/>
    <w:rsid w:val="006813FE"/>
    <w:rsid w:val="00681B0F"/>
    <w:rsid w:val="0068256A"/>
    <w:rsid w:val="006828D4"/>
    <w:rsid w:val="00683031"/>
    <w:rsid w:val="0068344C"/>
    <w:rsid w:val="006841AA"/>
    <w:rsid w:val="006857A4"/>
    <w:rsid w:val="00685871"/>
    <w:rsid w:val="006858A4"/>
    <w:rsid w:val="00685B70"/>
    <w:rsid w:val="00685DD4"/>
    <w:rsid w:val="006862DB"/>
    <w:rsid w:val="0068682E"/>
    <w:rsid w:val="00687090"/>
    <w:rsid w:val="00687158"/>
    <w:rsid w:val="00687A14"/>
    <w:rsid w:val="00687D4E"/>
    <w:rsid w:val="00687D79"/>
    <w:rsid w:val="006904AD"/>
    <w:rsid w:val="00691B62"/>
    <w:rsid w:val="00691F9B"/>
    <w:rsid w:val="00692274"/>
    <w:rsid w:val="006923FE"/>
    <w:rsid w:val="00692951"/>
    <w:rsid w:val="00694165"/>
    <w:rsid w:val="00696EEB"/>
    <w:rsid w:val="006A057A"/>
    <w:rsid w:val="006A0A4A"/>
    <w:rsid w:val="006A0BCE"/>
    <w:rsid w:val="006A1182"/>
    <w:rsid w:val="006A14AA"/>
    <w:rsid w:val="006A15EC"/>
    <w:rsid w:val="006A1974"/>
    <w:rsid w:val="006A2406"/>
    <w:rsid w:val="006A257E"/>
    <w:rsid w:val="006A2D28"/>
    <w:rsid w:val="006A3A3D"/>
    <w:rsid w:val="006A3F26"/>
    <w:rsid w:val="006A41F7"/>
    <w:rsid w:val="006A4441"/>
    <w:rsid w:val="006A4CCE"/>
    <w:rsid w:val="006A4DF3"/>
    <w:rsid w:val="006A668A"/>
    <w:rsid w:val="006A6ADF"/>
    <w:rsid w:val="006A6DF0"/>
    <w:rsid w:val="006A7C7C"/>
    <w:rsid w:val="006B09B9"/>
    <w:rsid w:val="006B0B61"/>
    <w:rsid w:val="006B11A5"/>
    <w:rsid w:val="006B1A79"/>
    <w:rsid w:val="006B1CA5"/>
    <w:rsid w:val="006B2418"/>
    <w:rsid w:val="006B4CA0"/>
    <w:rsid w:val="006B6D46"/>
    <w:rsid w:val="006B72DC"/>
    <w:rsid w:val="006B7488"/>
    <w:rsid w:val="006B7D1D"/>
    <w:rsid w:val="006C0845"/>
    <w:rsid w:val="006C2111"/>
    <w:rsid w:val="006C251D"/>
    <w:rsid w:val="006C2D3D"/>
    <w:rsid w:val="006C41DB"/>
    <w:rsid w:val="006C45BA"/>
    <w:rsid w:val="006C4D48"/>
    <w:rsid w:val="006C50BA"/>
    <w:rsid w:val="006C5C34"/>
    <w:rsid w:val="006C6274"/>
    <w:rsid w:val="006C6BEE"/>
    <w:rsid w:val="006C6ECF"/>
    <w:rsid w:val="006C788D"/>
    <w:rsid w:val="006D0103"/>
    <w:rsid w:val="006D01F3"/>
    <w:rsid w:val="006D02E6"/>
    <w:rsid w:val="006D0528"/>
    <w:rsid w:val="006D0C9D"/>
    <w:rsid w:val="006D0E51"/>
    <w:rsid w:val="006D19C4"/>
    <w:rsid w:val="006D1E4F"/>
    <w:rsid w:val="006D1EBC"/>
    <w:rsid w:val="006D291E"/>
    <w:rsid w:val="006D2E63"/>
    <w:rsid w:val="006D2EFD"/>
    <w:rsid w:val="006D33DC"/>
    <w:rsid w:val="006D352A"/>
    <w:rsid w:val="006D3978"/>
    <w:rsid w:val="006D3D00"/>
    <w:rsid w:val="006D41C3"/>
    <w:rsid w:val="006D4811"/>
    <w:rsid w:val="006D492A"/>
    <w:rsid w:val="006D4F75"/>
    <w:rsid w:val="006D52C2"/>
    <w:rsid w:val="006D57A4"/>
    <w:rsid w:val="006D5801"/>
    <w:rsid w:val="006D5988"/>
    <w:rsid w:val="006D5AED"/>
    <w:rsid w:val="006D5FD2"/>
    <w:rsid w:val="006D6EEB"/>
    <w:rsid w:val="006D75A5"/>
    <w:rsid w:val="006D77C1"/>
    <w:rsid w:val="006E01F5"/>
    <w:rsid w:val="006E09C4"/>
    <w:rsid w:val="006E0CC2"/>
    <w:rsid w:val="006E1026"/>
    <w:rsid w:val="006E2328"/>
    <w:rsid w:val="006E30E3"/>
    <w:rsid w:val="006E32B1"/>
    <w:rsid w:val="006E516F"/>
    <w:rsid w:val="006E52D8"/>
    <w:rsid w:val="006E591E"/>
    <w:rsid w:val="006E5BBC"/>
    <w:rsid w:val="006E63BD"/>
    <w:rsid w:val="006E676B"/>
    <w:rsid w:val="006E76FE"/>
    <w:rsid w:val="006E7A3D"/>
    <w:rsid w:val="006F0A55"/>
    <w:rsid w:val="006F0F08"/>
    <w:rsid w:val="006F124D"/>
    <w:rsid w:val="006F1B25"/>
    <w:rsid w:val="006F1C35"/>
    <w:rsid w:val="006F1EFA"/>
    <w:rsid w:val="006F2175"/>
    <w:rsid w:val="006F231A"/>
    <w:rsid w:val="006F2382"/>
    <w:rsid w:val="006F2878"/>
    <w:rsid w:val="006F2F54"/>
    <w:rsid w:val="006F3DCA"/>
    <w:rsid w:val="006F44D8"/>
    <w:rsid w:val="006F476A"/>
    <w:rsid w:val="006F54D9"/>
    <w:rsid w:val="006F59E5"/>
    <w:rsid w:val="006F6511"/>
    <w:rsid w:val="006F6A6B"/>
    <w:rsid w:val="006F751E"/>
    <w:rsid w:val="006F770A"/>
    <w:rsid w:val="006F777F"/>
    <w:rsid w:val="006F7E01"/>
    <w:rsid w:val="006F7E05"/>
    <w:rsid w:val="006F7FC9"/>
    <w:rsid w:val="00700796"/>
    <w:rsid w:val="00700946"/>
    <w:rsid w:val="007018E8"/>
    <w:rsid w:val="00701E76"/>
    <w:rsid w:val="0070200A"/>
    <w:rsid w:val="0070265F"/>
    <w:rsid w:val="00702C8B"/>
    <w:rsid w:val="007034CD"/>
    <w:rsid w:val="00703694"/>
    <w:rsid w:val="007036F1"/>
    <w:rsid w:val="00703C30"/>
    <w:rsid w:val="00703E73"/>
    <w:rsid w:val="007041C7"/>
    <w:rsid w:val="0070446C"/>
    <w:rsid w:val="00705244"/>
    <w:rsid w:val="00705ABC"/>
    <w:rsid w:val="007070EF"/>
    <w:rsid w:val="00707681"/>
    <w:rsid w:val="007079BC"/>
    <w:rsid w:val="00713FDD"/>
    <w:rsid w:val="00714812"/>
    <w:rsid w:val="00714BE7"/>
    <w:rsid w:val="00716F85"/>
    <w:rsid w:val="007175A0"/>
    <w:rsid w:val="007175FC"/>
    <w:rsid w:val="007175FD"/>
    <w:rsid w:val="007179B0"/>
    <w:rsid w:val="007209C2"/>
    <w:rsid w:val="00720DC8"/>
    <w:rsid w:val="00720E21"/>
    <w:rsid w:val="007212BF"/>
    <w:rsid w:val="00721A8B"/>
    <w:rsid w:val="00721ABA"/>
    <w:rsid w:val="0072252F"/>
    <w:rsid w:val="00722547"/>
    <w:rsid w:val="007229C8"/>
    <w:rsid w:val="00722AC3"/>
    <w:rsid w:val="00722E95"/>
    <w:rsid w:val="00722F51"/>
    <w:rsid w:val="0072312A"/>
    <w:rsid w:val="0072326D"/>
    <w:rsid w:val="00725E58"/>
    <w:rsid w:val="00726CA2"/>
    <w:rsid w:val="00726EF3"/>
    <w:rsid w:val="00727658"/>
    <w:rsid w:val="00727708"/>
    <w:rsid w:val="00732E84"/>
    <w:rsid w:val="00732EAA"/>
    <w:rsid w:val="00734503"/>
    <w:rsid w:val="007352A0"/>
    <w:rsid w:val="007356EF"/>
    <w:rsid w:val="00736226"/>
    <w:rsid w:val="00736BAA"/>
    <w:rsid w:val="00737008"/>
    <w:rsid w:val="007376BC"/>
    <w:rsid w:val="007409E1"/>
    <w:rsid w:val="007414C3"/>
    <w:rsid w:val="00741860"/>
    <w:rsid w:val="007424F2"/>
    <w:rsid w:val="007428A5"/>
    <w:rsid w:val="00742EB4"/>
    <w:rsid w:val="00743DB7"/>
    <w:rsid w:val="00744A21"/>
    <w:rsid w:val="00744A41"/>
    <w:rsid w:val="00744DAB"/>
    <w:rsid w:val="007450F5"/>
    <w:rsid w:val="00745350"/>
    <w:rsid w:val="0074594F"/>
    <w:rsid w:val="007461B2"/>
    <w:rsid w:val="00746497"/>
    <w:rsid w:val="007466CB"/>
    <w:rsid w:val="00746D1F"/>
    <w:rsid w:val="007501B3"/>
    <w:rsid w:val="007503E6"/>
    <w:rsid w:val="0075075D"/>
    <w:rsid w:val="00751691"/>
    <w:rsid w:val="00751A5E"/>
    <w:rsid w:val="00752A00"/>
    <w:rsid w:val="00752D91"/>
    <w:rsid w:val="007543D5"/>
    <w:rsid w:val="00757273"/>
    <w:rsid w:val="0075755C"/>
    <w:rsid w:val="00757944"/>
    <w:rsid w:val="00760765"/>
    <w:rsid w:val="00760B1B"/>
    <w:rsid w:val="00760F1E"/>
    <w:rsid w:val="007614C5"/>
    <w:rsid w:val="00761A25"/>
    <w:rsid w:val="00761B3E"/>
    <w:rsid w:val="00763069"/>
    <w:rsid w:val="0076415F"/>
    <w:rsid w:val="0076479C"/>
    <w:rsid w:val="00764881"/>
    <w:rsid w:val="00764A31"/>
    <w:rsid w:val="00764AAF"/>
    <w:rsid w:val="00765CB3"/>
    <w:rsid w:val="00766278"/>
    <w:rsid w:val="007668EF"/>
    <w:rsid w:val="00766BF6"/>
    <w:rsid w:val="00766DA0"/>
    <w:rsid w:val="00766FD5"/>
    <w:rsid w:val="0076743F"/>
    <w:rsid w:val="00767C57"/>
    <w:rsid w:val="0077000B"/>
    <w:rsid w:val="00770630"/>
    <w:rsid w:val="00771805"/>
    <w:rsid w:val="00772714"/>
    <w:rsid w:val="00772A47"/>
    <w:rsid w:val="0077304A"/>
    <w:rsid w:val="007732FC"/>
    <w:rsid w:val="007736CA"/>
    <w:rsid w:val="007739E5"/>
    <w:rsid w:val="00773F69"/>
    <w:rsid w:val="00774339"/>
    <w:rsid w:val="00774915"/>
    <w:rsid w:val="00775B5D"/>
    <w:rsid w:val="007768D8"/>
    <w:rsid w:val="00776950"/>
    <w:rsid w:val="007769C1"/>
    <w:rsid w:val="00776A1B"/>
    <w:rsid w:val="0077706B"/>
    <w:rsid w:val="0077787B"/>
    <w:rsid w:val="00777D22"/>
    <w:rsid w:val="0078110D"/>
    <w:rsid w:val="00781C31"/>
    <w:rsid w:val="0078234F"/>
    <w:rsid w:val="007823D6"/>
    <w:rsid w:val="007825E4"/>
    <w:rsid w:val="00782F9E"/>
    <w:rsid w:val="00783363"/>
    <w:rsid w:val="00783E4D"/>
    <w:rsid w:val="007840D1"/>
    <w:rsid w:val="00784897"/>
    <w:rsid w:val="00784969"/>
    <w:rsid w:val="00784B4E"/>
    <w:rsid w:val="00785AD3"/>
    <w:rsid w:val="00786597"/>
    <w:rsid w:val="00786646"/>
    <w:rsid w:val="007868C9"/>
    <w:rsid w:val="00786A80"/>
    <w:rsid w:val="00786FC0"/>
    <w:rsid w:val="007875DA"/>
    <w:rsid w:val="00790086"/>
    <w:rsid w:val="007906DF"/>
    <w:rsid w:val="0079074F"/>
    <w:rsid w:val="00790D84"/>
    <w:rsid w:val="007916EB"/>
    <w:rsid w:val="00791F76"/>
    <w:rsid w:val="007921B1"/>
    <w:rsid w:val="00792635"/>
    <w:rsid w:val="0079314B"/>
    <w:rsid w:val="0079514A"/>
    <w:rsid w:val="00795235"/>
    <w:rsid w:val="0079533F"/>
    <w:rsid w:val="007956D1"/>
    <w:rsid w:val="007970E7"/>
    <w:rsid w:val="00797109"/>
    <w:rsid w:val="00797662"/>
    <w:rsid w:val="00797BFA"/>
    <w:rsid w:val="007A0343"/>
    <w:rsid w:val="007A0775"/>
    <w:rsid w:val="007A0DA1"/>
    <w:rsid w:val="007A1038"/>
    <w:rsid w:val="007A125D"/>
    <w:rsid w:val="007A195E"/>
    <w:rsid w:val="007A22CB"/>
    <w:rsid w:val="007A2960"/>
    <w:rsid w:val="007A2A89"/>
    <w:rsid w:val="007A319B"/>
    <w:rsid w:val="007A3219"/>
    <w:rsid w:val="007A3565"/>
    <w:rsid w:val="007A35E3"/>
    <w:rsid w:val="007A3C31"/>
    <w:rsid w:val="007A3D5B"/>
    <w:rsid w:val="007A3E97"/>
    <w:rsid w:val="007A4BE7"/>
    <w:rsid w:val="007A52A8"/>
    <w:rsid w:val="007A5952"/>
    <w:rsid w:val="007A7F0E"/>
    <w:rsid w:val="007B00C0"/>
    <w:rsid w:val="007B03B5"/>
    <w:rsid w:val="007B0634"/>
    <w:rsid w:val="007B093A"/>
    <w:rsid w:val="007B0E0E"/>
    <w:rsid w:val="007B1026"/>
    <w:rsid w:val="007B11DD"/>
    <w:rsid w:val="007B14C2"/>
    <w:rsid w:val="007B2B7E"/>
    <w:rsid w:val="007B2BC0"/>
    <w:rsid w:val="007B2F0D"/>
    <w:rsid w:val="007B3AF6"/>
    <w:rsid w:val="007B3AFD"/>
    <w:rsid w:val="007B3C6C"/>
    <w:rsid w:val="007B4FB5"/>
    <w:rsid w:val="007B5256"/>
    <w:rsid w:val="007B5AAD"/>
    <w:rsid w:val="007B5D1C"/>
    <w:rsid w:val="007B69AD"/>
    <w:rsid w:val="007B6C5B"/>
    <w:rsid w:val="007B6ECA"/>
    <w:rsid w:val="007B6ECF"/>
    <w:rsid w:val="007B6F52"/>
    <w:rsid w:val="007B7D36"/>
    <w:rsid w:val="007C02B3"/>
    <w:rsid w:val="007C06F7"/>
    <w:rsid w:val="007C1E1B"/>
    <w:rsid w:val="007C22A0"/>
    <w:rsid w:val="007C22E0"/>
    <w:rsid w:val="007C2B0F"/>
    <w:rsid w:val="007C3531"/>
    <w:rsid w:val="007C3B74"/>
    <w:rsid w:val="007C4118"/>
    <w:rsid w:val="007C4781"/>
    <w:rsid w:val="007C50B1"/>
    <w:rsid w:val="007C5385"/>
    <w:rsid w:val="007C55A6"/>
    <w:rsid w:val="007C5CE0"/>
    <w:rsid w:val="007C6816"/>
    <w:rsid w:val="007C68D8"/>
    <w:rsid w:val="007C70AD"/>
    <w:rsid w:val="007C7611"/>
    <w:rsid w:val="007C7934"/>
    <w:rsid w:val="007C7A40"/>
    <w:rsid w:val="007C7F74"/>
    <w:rsid w:val="007D030A"/>
    <w:rsid w:val="007D055C"/>
    <w:rsid w:val="007D129A"/>
    <w:rsid w:val="007D2DF5"/>
    <w:rsid w:val="007D2E77"/>
    <w:rsid w:val="007D442F"/>
    <w:rsid w:val="007D5604"/>
    <w:rsid w:val="007D58E8"/>
    <w:rsid w:val="007D5B85"/>
    <w:rsid w:val="007D5F02"/>
    <w:rsid w:val="007D68A4"/>
    <w:rsid w:val="007D6AD4"/>
    <w:rsid w:val="007D6E6F"/>
    <w:rsid w:val="007E0C5F"/>
    <w:rsid w:val="007E1292"/>
    <w:rsid w:val="007E165F"/>
    <w:rsid w:val="007E1AA6"/>
    <w:rsid w:val="007E1B3D"/>
    <w:rsid w:val="007E2892"/>
    <w:rsid w:val="007E2EEC"/>
    <w:rsid w:val="007E2FCE"/>
    <w:rsid w:val="007E3238"/>
    <w:rsid w:val="007E3675"/>
    <w:rsid w:val="007E4D3A"/>
    <w:rsid w:val="007E5F1B"/>
    <w:rsid w:val="007E662C"/>
    <w:rsid w:val="007E6836"/>
    <w:rsid w:val="007E758D"/>
    <w:rsid w:val="007E76B1"/>
    <w:rsid w:val="007E7A19"/>
    <w:rsid w:val="007E7C53"/>
    <w:rsid w:val="007F1E5F"/>
    <w:rsid w:val="007F240E"/>
    <w:rsid w:val="007F29DF"/>
    <w:rsid w:val="007F3339"/>
    <w:rsid w:val="007F39FA"/>
    <w:rsid w:val="007F4C21"/>
    <w:rsid w:val="007F57D3"/>
    <w:rsid w:val="007F67B2"/>
    <w:rsid w:val="007F7B14"/>
    <w:rsid w:val="007F7BC1"/>
    <w:rsid w:val="007F7E89"/>
    <w:rsid w:val="00800431"/>
    <w:rsid w:val="00801197"/>
    <w:rsid w:val="00802075"/>
    <w:rsid w:val="00802CB5"/>
    <w:rsid w:val="008032C1"/>
    <w:rsid w:val="00803686"/>
    <w:rsid w:val="0080470B"/>
    <w:rsid w:val="008047D8"/>
    <w:rsid w:val="008049D4"/>
    <w:rsid w:val="00804BBE"/>
    <w:rsid w:val="00805D9F"/>
    <w:rsid w:val="0080637E"/>
    <w:rsid w:val="008066CF"/>
    <w:rsid w:val="00807E2A"/>
    <w:rsid w:val="00807E74"/>
    <w:rsid w:val="00807F40"/>
    <w:rsid w:val="00810D56"/>
    <w:rsid w:val="0081239E"/>
    <w:rsid w:val="0081271C"/>
    <w:rsid w:val="0081272E"/>
    <w:rsid w:val="008128A4"/>
    <w:rsid w:val="0081317F"/>
    <w:rsid w:val="00813707"/>
    <w:rsid w:val="0081382B"/>
    <w:rsid w:val="00813A10"/>
    <w:rsid w:val="00813AD3"/>
    <w:rsid w:val="00813B1B"/>
    <w:rsid w:val="00814259"/>
    <w:rsid w:val="008144E7"/>
    <w:rsid w:val="008149D5"/>
    <w:rsid w:val="00814F86"/>
    <w:rsid w:val="00815356"/>
    <w:rsid w:val="008161A6"/>
    <w:rsid w:val="0081639B"/>
    <w:rsid w:val="00816A32"/>
    <w:rsid w:val="00816F19"/>
    <w:rsid w:val="00817497"/>
    <w:rsid w:val="008174E1"/>
    <w:rsid w:val="008178AD"/>
    <w:rsid w:val="00817981"/>
    <w:rsid w:val="0082024C"/>
    <w:rsid w:val="0082030F"/>
    <w:rsid w:val="008219C6"/>
    <w:rsid w:val="00821B90"/>
    <w:rsid w:val="00821CFD"/>
    <w:rsid w:val="00821D67"/>
    <w:rsid w:val="00821E58"/>
    <w:rsid w:val="00822C6C"/>
    <w:rsid w:val="00822FF8"/>
    <w:rsid w:val="008234A3"/>
    <w:rsid w:val="008239FE"/>
    <w:rsid w:val="0082467C"/>
    <w:rsid w:val="00825FD2"/>
    <w:rsid w:val="00826037"/>
    <w:rsid w:val="0082611B"/>
    <w:rsid w:val="0082637C"/>
    <w:rsid w:val="008265FC"/>
    <w:rsid w:val="008274B9"/>
    <w:rsid w:val="00827531"/>
    <w:rsid w:val="008278BB"/>
    <w:rsid w:val="00827FF9"/>
    <w:rsid w:val="00830120"/>
    <w:rsid w:val="00830445"/>
    <w:rsid w:val="00831A13"/>
    <w:rsid w:val="00832A1C"/>
    <w:rsid w:val="00832EDB"/>
    <w:rsid w:val="008331B9"/>
    <w:rsid w:val="0083380D"/>
    <w:rsid w:val="00833ADF"/>
    <w:rsid w:val="00833F42"/>
    <w:rsid w:val="0083555C"/>
    <w:rsid w:val="0083702A"/>
    <w:rsid w:val="0083726B"/>
    <w:rsid w:val="0083779F"/>
    <w:rsid w:val="00837B50"/>
    <w:rsid w:val="008408E0"/>
    <w:rsid w:val="00840CDC"/>
    <w:rsid w:val="00840D9B"/>
    <w:rsid w:val="00840FEE"/>
    <w:rsid w:val="0084149A"/>
    <w:rsid w:val="00841744"/>
    <w:rsid w:val="0084307F"/>
    <w:rsid w:val="00843D80"/>
    <w:rsid w:val="00843FC9"/>
    <w:rsid w:val="0084435B"/>
    <w:rsid w:val="00845367"/>
    <w:rsid w:val="0084554C"/>
    <w:rsid w:val="008455FD"/>
    <w:rsid w:val="00846112"/>
    <w:rsid w:val="00846132"/>
    <w:rsid w:val="0084623B"/>
    <w:rsid w:val="00850381"/>
    <w:rsid w:val="00850484"/>
    <w:rsid w:val="00850D87"/>
    <w:rsid w:val="008513A7"/>
    <w:rsid w:val="008516BA"/>
    <w:rsid w:val="00851EBF"/>
    <w:rsid w:val="00851FA8"/>
    <w:rsid w:val="00852117"/>
    <w:rsid w:val="008526AA"/>
    <w:rsid w:val="00852DBC"/>
    <w:rsid w:val="0085390A"/>
    <w:rsid w:val="0085494F"/>
    <w:rsid w:val="00854AE0"/>
    <w:rsid w:val="00854BDC"/>
    <w:rsid w:val="00854F78"/>
    <w:rsid w:val="008556C6"/>
    <w:rsid w:val="008559CB"/>
    <w:rsid w:val="008562F2"/>
    <w:rsid w:val="008568D9"/>
    <w:rsid w:val="008570C2"/>
    <w:rsid w:val="0085715B"/>
    <w:rsid w:val="008573B7"/>
    <w:rsid w:val="008602F5"/>
    <w:rsid w:val="00861A3E"/>
    <w:rsid w:val="00862287"/>
    <w:rsid w:val="00862937"/>
    <w:rsid w:val="0086295B"/>
    <w:rsid w:val="00862B43"/>
    <w:rsid w:val="00862C1E"/>
    <w:rsid w:val="00863525"/>
    <w:rsid w:val="0086390F"/>
    <w:rsid w:val="00864363"/>
    <w:rsid w:val="00864507"/>
    <w:rsid w:val="00864879"/>
    <w:rsid w:val="00865084"/>
    <w:rsid w:val="008653C6"/>
    <w:rsid w:val="00866086"/>
    <w:rsid w:val="0086613E"/>
    <w:rsid w:val="0086654C"/>
    <w:rsid w:val="00866597"/>
    <w:rsid w:val="00866761"/>
    <w:rsid w:val="008669A0"/>
    <w:rsid w:val="008708ED"/>
    <w:rsid w:val="00870B92"/>
    <w:rsid w:val="00870CA8"/>
    <w:rsid w:val="00871027"/>
    <w:rsid w:val="008712EE"/>
    <w:rsid w:val="00871499"/>
    <w:rsid w:val="00871D32"/>
    <w:rsid w:val="00871EF5"/>
    <w:rsid w:val="0087218D"/>
    <w:rsid w:val="00872484"/>
    <w:rsid w:val="00872673"/>
    <w:rsid w:val="00872A3A"/>
    <w:rsid w:val="00872D19"/>
    <w:rsid w:val="008733C7"/>
    <w:rsid w:val="00874EA6"/>
    <w:rsid w:val="008750AE"/>
    <w:rsid w:val="00875846"/>
    <w:rsid w:val="00875EC1"/>
    <w:rsid w:val="0087695A"/>
    <w:rsid w:val="00876AAF"/>
    <w:rsid w:val="00877F7E"/>
    <w:rsid w:val="00880FC9"/>
    <w:rsid w:val="0088104B"/>
    <w:rsid w:val="008812BA"/>
    <w:rsid w:val="0088148C"/>
    <w:rsid w:val="00881649"/>
    <w:rsid w:val="00881979"/>
    <w:rsid w:val="00881CBB"/>
    <w:rsid w:val="00882049"/>
    <w:rsid w:val="00882DD9"/>
    <w:rsid w:val="00883005"/>
    <w:rsid w:val="008834D0"/>
    <w:rsid w:val="008838CD"/>
    <w:rsid w:val="00884438"/>
    <w:rsid w:val="00884B91"/>
    <w:rsid w:val="00885378"/>
    <w:rsid w:val="0088567E"/>
    <w:rsid w:val="00885A41"/>
    <w:rsid w:val="00885C2B"/>
    <w:rsid w:val="0088669C"/>
    <w:rsid w:val="00886A8A"/>
    <w:rsid w:val="00891A53"/>
    <w:rsid w:val="00891DF1"/>
    <w:rsid w:val="00891F33"/>
    <w:rsid w:val="0089202D"/>
    <w:rsid w:val="00893100"/>
    <w:rsid w:val="0089314A"/>
    <w:rsid w:val="00895194"/>
    <w:rsid w:val="00896706"/>
    <w:rsid w:val="008968B6"/>
    <w:rsid w:val="00896FF3"/>
    <w:rsid w:val="00897A88"/>
    <w:rsid w:val="008A062E"/>
    <w:rsid w:val="008A066A"/>
    <w:rsid w:val="008A09D6"/>
    <w:rsid w:val="008A1627"/>
    <w:rsid w:val="008A174A"/>
    <w:rsid w:val="008A2629"/>
    <w:rsid w:val="008A29E7"/>
    <w:rsid w:val="008A2D08"/>
    <w:rsid w:val="008A334F"/>
    <w:rsid w:val="008A3605"/>
    <w:rsid w:val="008A3785"/>
    <w:rsid w:val="008A3DA7"/>
    <w:rsid w:val="008A4B58"/>
    <w:rsid w:val="008A4E79"/>
    <w:rsid w:val="008A7AE4"/>
    <w:rsid w:val="008B10F5"/>
    <w:rsid w:val="008B1F76"/>
    <w:rsid w:val="008B204A"/>
    <w:rsid w:val="008B22B4"/>
    <w:rsid w:val="008B246E"/>
    <w:rsid w:val="008B2DA4"/>
    <w:rsid w:val="008B3279"/>
    <w:rsid w:val="008B375B"/>
    <w:rsid w:val="008B3BE5"/>
    <w:rsid w:val="008B49CD"/>
    <w:rsid w:val="008B6A7A"/>
    <w:rsid w:val="008B6BEC"/>
    <w:rsid w:val="008B6C00"/>
    <w:rsid w:val="008B7C3E"/>
    <w:rsid w:val="008C02A9"/>
    <w:rsid w:val="008C0CA8"/>
    <w:rsid w:val="008C0E32"/>
    <w:rsid w:val="008C0FD3"/>
    <w:rsid w:val="008C187E"/>
    <w:rsid w:val="008C1FEB"/>
    <w:rsid w:val="008C20AC"/>
    <w:rsid w:val="008C317C"/>
    <w:rsid w:val="008C386D"/>
    <w:rsid w:val="008C43FE"/>
    <w:rsid w:val="008C567F"/>
    <w:rsid w:val="008C60E8"/>
    <w:rsid w:val="008C642C"/>
    <w:rsid w:val="008C6FB2"/>
    <w:rsid w:val="008C7144"/>
    <w:rsid w:val="008C78D5"/>
    <w:rsid w:val="008C7E2C"/>
    <w:rsid w:val="008D0884"/>
    <w:rsid w:val="008D15D6"/>
    <w:rsid w:val="008D2543"/>
    <w:rsid w:val="008D5214"/>
    <w:rsid w:val="008D581D"/>
    <w:rsid w:val="008D5A3D"/>
    <w:rsid w:val="008D5F97"/>
    <w:rsid w:val="008E1496"/>
    <w:rsid w:val="008E19D2"/>
    <w:rsid w:val="008E1E19"/>
    <w:rsid w:val="008E2383"/>
    <w:rsid w:val="008E329C"/>
    <w:rsid w:val="008E39CE"/>
    <w:rsid w:val="008E3AF4"/>
    <w:rsid w:val="008E49AC"/>
    <w:rsid w:val="008E52AA"/>
    <w:rsid w:val="008E532E"/>
    <w:rsid w:val="008E53CB"/>
    <w:rsid w:val="008E5470"/>
    <w:rsid w:val="008E5858"/>
    <w:rsid w:val="008E604A"/>
    <w:rsid w:val="008E617E"/>
    <w:rsid w:val="008E654C"/>
    <w:rsid w:val="008E6575"/>
    <w:rsid w:val="008E678A"/>
    <w:rsid w:val="008E6CDC"/>
    <w:rsid w:val="008E6FBE"/>
    <w:rsid w:val="008E70F9"/>
    <w:rsid w:val="008F038D"/>
    <w:rsid w:val="008F0B45"/>
    <w:rsid w:val="008F29A8"/>
    <w:rsid w:val="008F2A5B"/>
    <w:rsid w:val="008F419D"/>
    <w:rsid w:val="008F4BAF"/>
    <w:rsid w:val="008F4F9D"/>
    <w:rsid w:val="008F5338"/>
    <w:rsid w:val="008F769D"/>
    <w:rsid w:val="0090009B"/>
    <w:rsid w:val="00900B39"/>
    <w:rsid w:val="00901646"/>
    <w:rsid w:val="00901647"/>
    <w:rsid w:val="00901661"/>
    <w:rsid w:val="00901BAD"/>
    <w:rsid w:val="009021B2"/>
    <w:rsid w:val="00902452"/>
    <w:rsid w:val="00902560"/>
    <w:rsid w:val="0090292A"/>
    <w:rsid w:val="00903012"/>
    <w:rsid w:val="0090320B"/>
    <w:rsid w:val="009032C3"/>
    <w:rsid w:val="009032FD"/>
    <w:rsid w:val="0090361A"/>
    <w:rsid w:val="00903A8B"/>
    <w:rsid w:val="00904464"/>
    <w:rsid w:val="00904A87"/>
    <w:rsid w:val="00905667"/>
    <w:rsid w:val="009067AA"/>
    <w:rsid w:val="009100A3"/>
    <w:rsid w:val="009106FA"/>
    <w:rsid w:val="00911C9B"/>
    <w:rsid w:val="00912761"/>
    <w:rsid w:val="00913538"/>
    <w:rsid w:val="00913A69"/>
    <w:rsid w:val="00913DA7"/>
    <w:rsid w:val="009146F0"/>
    <w:rsid w:val="009147FA"/>
    <w:rsid w:val="00914D93"/>
    <w:rsid w:val="00914DA6"/>
    <w:rsid w:val="00915730"/>
    <w:rsid w:val="00916473"/>
    <w:rsid w:val="00917116"/>
    <w:rsid w:val="0091735F"/>
    <w:rsid w:val="00917518"/>
    <w:rsid w:val="009178C8"/>
    <w:rsid w:val="00917A12"/>
    <w:rsid w:val="009201D3"/>
    <w:rsid w:val="00920D8F"/>
    <w:rsid w:val="00920F8E"/>
    <w:rsid w:val="00921E65"/>
    <w:rsid w:val="009222FA"/>
    <w:rsid w:val="00923E8D"/>
    <w:rsid w:val="00923FB2"/>
    <w:rsid w:val="00924845"/>
    <w:rsid w:val="00924CBB"/>
    <w:rsid w:val="0092539C"/>
    <w:rsid w:val="00925AB0"/>
    <w:rsid w:val="0092701F"/>
    <w:rsid w:val="00927272"/>
    <w:rsid w:val="00927424"/>
    <w:rsid w:val="0093026C"/>
    <w:rsid w:val="00930781"/>
    <w:rsid w:val="0093114D"/>
    <w:rsid w:val="00931434"/>
    <w:rsid w:val="0093230F"/>
    <w:rsid w:val="0093245C"/>
    <w:rsid w:val="00932614"/>
    <w:rsid w:val="00932893"/>
    <w:rsid w:val="00932D1F"/>
    <w:rsid w:val="00933167"/>
    <w:rsid w:val="00933390"/>
    <w:rsid w:val="009337FC"/>
    <w:rsid w:val="0093396D"/>
    <w:rsid w:val="00933B6F"/>
    <w:rsid w:val="009343C1"/>
    <w:rsid w:val="009359AE"/>
    <w:rsid w:val="009360AC"/>
    <w:rsid w:val="00936322"/>
    <w:rsid w:val="0093667C"/>
    <w:rsid w:val="00936C0B"/>
    <w:rsid w:val="00936FCC"/>
    <w:rsid w:val="00937CA3"/>
    <w:rsid w:val="00940511"/>
    <w:rsid w:val="009418C8"/>
    <w:rsid w:val="00941994"/>
    <w:rsid w:val="0094225A"/>
    <w:rsid w:val="009429A4"/>
    <w:rsid w:val="009430FE"/>
    <w:rsid w:val="00943845"/>
    <w:rsid w:val="009448C8"/>
    <w:rsid w:val="00944A5A"/>
    <w:rsid w:val="009456A0"/>
    <w:rsid w:val="009457BB"/>
    <w:rsid w:val="0094597B"/>
    <w:rsid w:val="0094620F"/>
    <w:rsid w:val="00946451"/>
    <w:rsid w:val="00946558"/>
    <w:rsid w:val="00946908"/>
    <w:rsid w:val="00947690"/>
    <w:rsid w:val="0094796C"/>
    <w:rsid w:val="009509CB"/>
    <w:rsid w:val="00951D0B"/>
    <w:rsid w:val="009528FD"/>
    <w:rsid w:val="00952EEE"/>
    <w:rsid w:val="009535C2"/>
    <w:rsid w:val="00953628"/>
    <w:rsid w:val="009541BF"/>
    <w:rsid w:val="0095488A"/>
    <w:rsid w:val="00954D4E"/>
    <w:rsid w:val="00954DF7"/>
    <w:rsid w:val="00955164"/>
    <w:rsid w:val="009557EE"/>
    <w:rsid w:val="00955CE5"/>
    <w:rsid w:val="0095616D"/>
    <w:rsid w:val="0095672B"/>
    <w:rsid w:val="00957837"/>
    <w:rsid w:val="00957DB8"/>
    <w:rsid w:val="00957E78"/>
    <w:rsid w:val="00957F11"/>
    <w:rsid w:val="0096079A"/>
    <w:rsid w:val="00960B9E"/>
    <w:rsid w:val="00960DF6"/>
    <w:rsid w:val="0096101B"/>
    <w:rsid w:val="00961811"/>
    <w:rsid w:val="00962AEA"/>
    <w:rsid w:val="00963662"/>
    <w:rsid w:val="00963867"/>
    <w:rsid w:val="00964A72"/>
    <w:rsid w:val="00965663"/>
    <w:rsid w:val="00966460"/>
    <w:rsid w:val="00966725"/>
    <w:rsid w:val="00966874"/>
    <w:rsid w:val="00966BC4"/>
    <w:rsid w:val="009678EA"/>
    <w:rsid w:val="00967CFB"/>
    <w:rsid w:val="00970A84"/>
    <w:rsid w:val="00970DF3"/>
    <w:rsid w:val="00971319"/>
    <w:rsid w:val="00971454"/>
    <w:rsid w:val="009720D9"/>
    <w:rsid w:val="00972127"/>
    <w:rsid w:val="00972713"/>
    <w:rsid w:val="0097285C"/>
    <w:rsid w:val="00972D2B"/>
    <w:rsid w:val="009730D1"/>
    <w:rsid w:val="009732DA"/>
    <w:rsid w:val="00973CF7"/>
    <w:rsid w:val="0097554C"/>
    <w:rsid w:val="00976AF8"/>
    <w:rsid w:val="00976DA5"/>
    <w:rsid w:val="00976F86"/>
    <w:rsid w:val="00980267"/>
    <w:rsid w:val="00980326"/>
    <w:rsid w:val="009805CF"/>
    <w:rsid w:val="00980E70"/>
    <w:rsid w:val="00980ECC"/>
    <w:rsid w:val="00981046"/>
    <w:rsid w:val="0098123B"/>
    <w:rsid w:val="0098140F"/>
    <w:rsid w:val="00981618"/>
    <w:rsid w:val="009816F0"/>
    <w:rsid w:val="00981CD4"/>
    <w:rsid w:val="0098262E"/>
    <w:rsid w:val="00982B77"/>
    <w:rsid w:val="00983991"/>
    <w:rsid w:val="00983CCB"/>
    <w:rsid w:val="00984DBE"/>
    <w:rsid w:val="00985C21"/>
    <w:rsid w:val="00986518"/>
    <w:rsid w:val="0098673F"/>
    <w:rsid w:val="0098695E"/>
    <w:rsid w:val="00987868"/>
    <w:rsid w:val="009908F1"/>
    <w:rsid w:val="00990A21"/>
    <w:rsid w:val="00990E33"/>
    <w:rsid w:val="00990E98"/>
    <w:rsid w:val="009911E1"/>
    <w:rsid w:val="0099129B"/>
    <w:rsid w:val="00991C55"/>
    <w:rsid w:val="009923DD"/>
    <w:rsid w:val="00993E2F"/>
    <w:rsid w:val="00993F1B"/>
    <w:rsid w:val="0099526E"/>
    <w:rsid w:val="009959B2"/>
    <w:rsid w:val="00995EB6"/>
    <w:rsid w:val="00996C87"/>
    <w:rsid w:val="00996D1A"/>
    <w:rsid w:val="009A0036"/>
    <w:rsid w:val="009A0584"/>
    <w:rsid w:val="009A0CD6"/>
    <w:rsid w:val="009A1659"/>
    <w:rsid w:val="009A16E2"/>
    <w:rsid w:val="009A201D"/>
    <w:rsid w:val="009A2147"/>
    <w:rsid w:val="009A2204"/>
    <w:rsid w:val="009A2733"/>
    <w:rsid w:val="009A2BFB"/>
    <w:rsid w:val="009A2D39"/>
    <w:rsid w:val="009A33B6"/>
    <w:rsid w:val="009A375B"/>
    <w:rsid w:val="009A38CF"/>
    <w:rsid w:val="009A3CC2"/>
    <w:rsid w:val="009A3D34"/>
    <w:rsid w:val="009A4065"/>
    <w:rsid w:val="009A44E0"/>
    <w:rsid w:val="009A56A6"/>
    <w:rsid w:val="009A5BB2"/>
    <w:rsid w:val="009A5BED"/>
    <w:rsid w:val="009A7554"/>
    <w:rsid w:val="009A76DA"/>
    <w:rsid w:val="009B0524"/>
    <w:rsid w:val="009B06BC"/>
    <w:rsid w:val="009B107E"/>
    <w:rsid w:val="009B147F"/>
    <w:rsid w:val="009B14F1"/>
    <w:rsid w:val="009B176B"/>
    <w:rsid w:val="009B237D"/>
    <w:rsid w:val="009B2388"/>
    <w:rsid w:val="009B24DF"/>
    <w:rsid w:val="009B2898"/>
    <w:rsid w:val="009B30B1"/>
    <w:rsid w:val="009B31FF"/>
    <w:rsid w:val="009B3AD2"/>
    <w:rsid w:val="009B40B7"/>
    <w:rsid w:val="009B49E8"/>
    <w:rsid w:val="009B4BB4"/>
    <w:rsid w:val="009B532C"/>
    <w:rsid w:val="009B5405"/>
    <w:rsid w:val="009B61B6"/>
    <w:rsid w:val="009B70AF"/>
    <w:rsid w:val="009B77DB"/>
    <w:rsid w:val="009B7917"/>
    <w:rsid w:val="009C01CE"/>
    <w:rsid w:val="009C0306"/>
    <w:rsid w:val="009C18E9"/>
    <w:rsid w:val="009C1E7E"/>
    <w:rsid w:val="009C2A52"/>
    <w:rsid w:val="009C2A66"/>
    <w:rsid w:val="009C313E"/>
    <w:rsid w:val="009C5886"/>
    <w:rsid w:val="009C5F2E"/>
    <w:rsid w:val="009C66A6"/>
    <w:rsid w:val="009C6A75"/>
    <w:rsid w:val="009C6AE4"/>
    <w:rsid w:val="009C724E"/>
    <w:rsid w:val="009C7B1E"/>
    <w:rsid w:val="009C7D25"/>
    <w:rsid w:val="009C7E09"/>
    <w:rsid w:val="009D00A9"/>
    <w:rsid w:val="009D0237"/>
    <w:rsid w:val="009D05E4"/>
    <w:rsid w:val="009D1043"/>
    <w:rsid w:val="009D114D"/>
    <w:rsid w:val="009D11C6"/>
    <w:rsid w:val="009D2C37"/>
    <w:rsid w:val="009D2F87"/>
    <w:rsid w:val="009D4B05"/>
    <w:rsid w:val="009D4E72"/>
    <w:rsid w:val="009D51B3"/>
    <w:rsid w:val="009D5AA9"/>
    <w:rsid w:val="009D69AF"/>
    <w:rsid w:val="009D6DAF"/>
    <w:rsid w:val="009E0029"/>
    <w:rsid w:val="009E02DC"/>
    <w:rsid w:val="009E0343"/>
    <w:rsid w:val="009E03D4"/>
    <w:rsid w:val="009E122A"/>
    <w:rsid w:val="009E2798"/>
    <w:rsid w:val="009E2F67"/>
    <w:rsid w:val="009E30CC"/>
    <w:rsid w:val="009E388E"/>
    <w:rsid w:val="009E3E58"/>
    <w:rsid w:val="009E4197"/>
    <w:rsid w:val="009E44EA"/>
    <w:rsid w:val="009E4826"/>
    <w:rsid w:val="009E6788"/>
    <w:rsid w:val="009E7711"/>
    <w:rsid w:val="009E7B5B"/>
    <w:rsid w:val="009F08C3"/>
    <w:rsid w:val="009F1FBB"/>
    <w:rsid w:val="009F3487"/>
    <w:rsid w:val="009F4834"/>
    <w:rsid w:val="009F4FBC"/>
    <w:rsid w:val="009F5365"/>
    <w:rsid w:val="009F5BE0"/>
    <w:rsid w:val="009F6295"/>
    <w:rsid w:val="009F6C69"/>
    <w:rsid w:val="009F7058"/>
    <w:rsid w:val="009F78E7"/>
    <w:rsid w:val="009F7CC1"/>
    <w:rsid w:val="00A009D3"/>
    <w:rsid w:val="00A0190F"/>
    <w:rsid w:val="00A02099"/>
    <w:rsid w:val="00A0271F"/>
    <w:rsid w:val="00A0383D"/>
    <w:rsid w:val="00A038C5"/>
    <w:rsid w:val="00A03D87"/>
    <w:rsid w:val="00A0454C"/>
    <w:rsid w:val="00A04623"/>
    <w:rsid w:val="00A047FD"/>
    <w:rsid w:val="00A04A1D"/>
    <w:rsid w:val="00A04CC2"/>
    <w:rsid w:val="00A056DD"/>
    <w:rsid w:val="00A05883"/>
    <w:rsid w:val="00A0655D"/>
    <w:rsid w:val="00A06C80"/>
    <w:rsid w:val="00A0764B"/>
    <w:rsid w:val="00A07B18"/>
    <w:rsid w:val="00A10222"/>
    <w:rsid w:val="00A10562"/>
    <w:rsid w:val="00A106A4"/>
    <w:rsid w:val="00A106F3"/>
    <w:rsid w:val="00A10FD7"/>
    <w:rsid w:val="00A1104E"/>
    <w:rsid w:val="00A11326"/>
    <w:rsid w:val="00A11328"/>
    <w:rsid w:val="00A113F1"/>
    <w:rsid w:val="00A11422"/>
    <w:rsid w:val="00A12490"/>
    <w:rsid w:val="00A128D2"/>
    <w:rsid w:val="00A12D0D"/>
    <w:rsid w:val="00A12E9E"/>
    <w:rsid w:val="00A13529"/>
    <w:rsid w:val="00A13A92"/>
    <w:rsid w:val="00A14153"/>
    <w:rsid w:val="00A14403"/>
    <w:rsid w:val="00A15B76"/>
    <w:rsid w:val="00A15CE0"/>
    <w:rsid w:val="00A160DD"/>
    <w:rsid w:val="00A1673B"/>
    <w:rsid w:val="00A16D97"/>
    <w:rsid w:val="00A17317"/>
    <w:rsid w:val="00A1733A"/>
    <w:rsid w:val="00A17A87"/>
    <w:rsid w:val="00A17C99"/>
    <w:rsid w:val="00A206EA"/>
    <w:rsid w:val="00A20E18"/>
    <w:rsid w:val="00A2125B"/>
    <w:rsid w:val="00A2194A"/>
    <w:rsid w:val="00A219D7"/>
    <w:rsid w:val="00A21A1B"/>
    <w:rsid w:val="00A21E2A"/>
    <w:rsid w:val="00A22480"/>
    <w:rsid w:val="00A22B2A"/>
    <w:rsid w:val="00A22C24"/>
    <w:rsid w:val="00A22C64"/>
    <w:rsid w:val="00A22DFE"/>
    <w:rsid w:val="00A22F96"/>
    <w:rsid w:val="00A230AF"/>
    <w:rsid w:val="00A239B3"/>
    <w:rsid w:val="00A2480C"/>
    <w:rsid w:val="00A253CD"/>
    <w:rsid w:val="00A2665A"/>
    <w:rsid w:val="00A2688D"/>
    <w:rsid w:val="00A27183"/>
    <w:rsid w:val="00A271FB"/>
    <w:rsid w:val="00A275EA"/>
    <w:rsid w:val="00A303C0"/>
    <w:rsid w:val="00A307AE"/>
    <w:rsid w:val="00A30800"/>
    <w:rsid w:val="00A30FD7"/>
    <w:rsid w:val="00A322FB"/>
    <w:rsid w:val="00A3518B"/>
    <w:rsid w:val="00A352C3"/>
    <w:rsid w:val="00A35632"/>
    <w:rsid w:val="00A35F96"/>
    <w:rsid w:val="00A37869"/>
    <w:rsid w:val="00A4077E"/>
    <w:rsid w:val="00A40AB2"/>
    <w:rsid w:val="00A41229"/>
    <w:rsid w:val="00A41C0F"/>
    <w:rsid w:val="00A41E97"/>
    <w:rsid w:val="00A42570"/>
    <w:rsid w:val="00A42E7F"/>
    <w:rsid w:val="00A4309D"/>
    <w:rsid w:val="00A4336F"/>
    <w:rsid w:val="00A439F2"/>
    <w:rsid w:val="00A43FFB"/>
    <w:rsid w:val="00A44BD3"/>
    <w:rsid w:val="00A44F61"/>
    <w:rsid w:val="00A4556B"/>
    <w:rsid w:val="00A45760"/>
    <w:rsid w:val="00A45E02"/>
    <w:rsid w:val="00A4607B"/>
    <w:rsid w:val="00A50107"/>
    <w:rsid w:val="00A5186E"/>
    <w:rsid w:val="00A51C61"/>
    <w:rsid w:val="00A52438"/>
    <w:rsid w:val="00A52AB7"/>
    <w:rsid w:val="00A52C69"/>
    <w:rsid w:val="00A52D5E"/>
    <w:rsid w:val="00A536A9"/>
    <w:rsid w:val="00A53987"/>
    <w:rsid w:val="00A548BA"/>
    <w:rsid w:val="00A55568"/>
    <w:rsid w:val="00A555F1"/>
    <w:rsid w:val="00A565AE"/>
    <w:rsid w:val="00A56B1A"/>
    <w:rsid w:val="00A56E8C"/>
    <w:rsid w:val="00A57676"/>
    <w:rsid w:val="00A60D72"/>
    <w:rsid w:val="00A60F5F"/>
    <w:rsid w:val="00A6169F"/>
    <w:rsid w:val="00A621B3"/>
    <w:rsid w:val="00A62650"/>
    <w:rsid w:val="00A636A2"/>
    <w:rsid w:val="00A636FA"/>
    <w:rsid w:val="00A63FA4"/>
    <w:rsid w:val="00A645CE"/>
    <w:rsid w:val="00A64B81"/>
    <w:rsid w:val="00A65071"/>
    <w:rsid w:val="00A65A20"/>
    <w:rsid w:val="00A660A4"/>
    <w:rsid w:val="00A678E1"/>
    <w:rsid w:val="00A679E5"/>
    <w:rsid w:val="00A679F1"/>
    <w:rsid w:val="00A67C45"/>
    <w:rsid w:val="00A67CB7"/>
    <w:rsid w:val="00A7029E"/>
    <w:rsid w:val="00A70332"/>
    <w:rsid w:val="00A70FB2"/>
    <w:rsid w:val="00A7168A"/>
    <w:rsid w:val="00A718D3"/>
    <w:rsid w:val="00A719B3"/>
    <w:rsid w:val="00A729A2"/>
    <w:rsid w:val="00A72EC4"/>
    <w:rsid w:val="00A733D8"/>
    <w:rsid w:val="00A746A0"/>
    <w:rsid w:val="00A74CCD"/>
    <w:rsid w:val="00A753A4"/>
    <w:rsid w:val="00A75524"/>
    <w:rsid w:val="00A75822"/>
    <w:rsid w:val="00A758F0"/>
    <w:rsid w:val="00A75F0D"/>
    <w:rsid w:val="00A76381"/>
    <w:rsid w:val="00A7658D"/>
    <w:rsid w:val="00A776F3"/>
    <w:rsid w:val="00A80500"/>
    <w:rsid w:val="00A80680"/>
    <w:rsid w:val="00A80C1B"/>
    <w:rsid w:val="00A81132"/>
    <w:rsid w:val="00A81565"/>
    <w:rsid w:val="00A81F58"/>
    <w:rsid w:val="00A81FAD"/>
    <w:rsid w:val="00A82BC8"/>
    <w:rsid w:val="00A82D5E"/>
    <w:rsid w:val="00A837E9"/>
    <w:rsid w:val="00A83AB4"/>
    <w:rsid w:val="00A84164"/>
    <w:rsid w:val="00A84B51"/>
    <w:rsid w:val="00A8518C"/>
    <w:rsid w:val="00A8545F"/>
    <w:rsid w:val="00A85F10"/>
    <w:rsid w:val="00A86083"/>
    <w:rsid w:val="00A860C6"/>
    <w:rsid w:val="00A8641E"/>
    <w:rsid w:val="00A865E6"/>
    <w:rsid w:val="00A86E56"/>
    <w:rsid w:val="00A8716D"/>
    <w:rsid w:val="00A90B42"/>
    <w:rsid w:val="00A922F0"/>
    <w:rsid w:val="00A92907"/>
    <w:rsid w:val="00A93261"/>
    <w:rsid w:val="00A93C02"/>
    <w:rsid w:val="00A9468B"/>
    <w:rsid w:val="00A949AF"/>
    <w:rsid w:val="00A94BC9"/>
    <w:rsid w:val="00A95CAB"/>
    <w:rsid w:val="00A96355"/>
    <w:rsid w:val="00A97080"/>
    <w:rsid w:val="00AA04F9"/>
    <w:rsid w:val="00AA1104"/>
    <w:rsid w:val="00AA1488"/>
    <w:rsid w:val="00AA151C"/>
    <w:rsid w:val="00AA174D"/>
    <w:rsid w:val="00AA1998"/>
    <w:rsid w:val="00AA23B4"/>
    <w:rsid w:val="00AA2886"/>
    <w:rsid w:val="00AA2DE8"/>
    <w:rsid w:val="00AA39BD"/>
    <w:rsid w:val="00AA503B"/>
    <w:rsid w:val="00AA5D0D"/>
    <w:rsid w:val="00AA6134"/>
    <w:rsid w:val="00AA6965"/>
    <w:rsid w:val="00AB1100"/>
    <w:rsid w:val="00AB1781"/>
    <w:rsid w:val="00AB18C6"/>
    <w:rsid w:val="00AB211A"/>
    <w:rsid w:val="00AB24D3"/>
    <w:rsid w:val="00AB30AD"/>
    <w:rsid w:val="00AB342B"/>
    <w:rsid w:val="00AB3FAF"/>
    <w:rsid w:val="00AB406D"/>
    <w:rsid w:val="00AB5347"/>
    <w:rsid w:val="00AB5E3D"/>
    <w:rsid w:val="00AB6A8C"/>
    <w:rsid w:val="00AB72ED"/>
    <w:rsid w:val="00AB7434"/>
    <w:rsid w:val="00AB7B1D"/>
    <w:rsid w:val="00AC0116"/>
    <w:rsid w:val="00AC13BA"/>
    <w:rsid w:val="00AC15C0"/>
    <w:rsid w:val="00AC18CB"/>
    <w:rsid w:val="00AC19FB"/>
    <w:rsid w:val="00AC29B2"/>
    <w:rsid w:val="00AC2C19"/>
    <w:rsid w:val="00AC2C92"/>
    <w:rsid w:val="00AC3011"/>
    <w:rsid w:val="00AC356D"/>
    <w:rsid w:val="00AC3812"/>
    <w:rsid w:val="00AC4259"/>
    <w:rsid w:val="00AC427E"/>
    <w:rsid w:val="00AC5746"/>
    <w:rsid w:val="00AC5839"/>
    <w:rsid w:val="00AC5946"/>
    <w:rsid w:val="00AC5ADD"/>
    <w:rsid w:val="00AC5D86"/>
    <w:rsid w:val="00AC674C"/>
    <w:rsid w:val="00AC6CF6"/>
    <w:rsid w:val="00AC736E"/>
    <w:rsid w:val="00AC74C9"/>
    <w:rsid w:val="00AC7B3C"/>
    <w:rsid w:val="00AD0246"/>
    <w:rsid w:val="00AD0258"/>
    <w:rsid w:val="00AD0422"/>
    <w:rsid w:val="00AD0E24"/>
    <w:rsid w:val="00AD15AD"/>
    <w:rsid w:val="00AD28C9"/>
    <w:rsid w:val="00AD2E77"/>
    <w:rsid w:val="00AD3D74"/>
    <w:rsid w:val="00AD4417"/>
    <w:rsid w:val="00AD483E"/>
    <w:rsid w:val="00AD4C63"/>
    <w:rsid w:val="00AD4FEC"/>
    <w:rsid w:val="00AD50EA"/>
    <w:rsid w:val="00AD5A8C"/>
    <w:rsid w:val="00AD6EEF"/>
    <w:rsid w:val="00AD7980"/>
    <w:rsid w:val="00AD7E3D"/>
    <w:rsid w:val="00AD7E98"/>
    <w:rsid w:val="00AD7FAC"/>
    <w:rsid w:val="00AE0813"/>
    <w:rsid w:val="00AE0817"/>
    <w:rsid w:val="00AE0CC3"/>
    <w:rsid w:val="00AE1BC3"/>
    <w:rsid w:val="00AE27B0"/>
    <w:rsid w:val="00AE3148"/>
    <w:rsid w:val="00AE39DC"/>
    <w:rsid w:val="00AE42E5"/>
    <w:rsid w:val="00AE4712"/>
    <w:rsid w:val="00AE4BBE"/>
    <w:rsid w:val="00AE4F12"/>
    <w:rsid w:val="00AE516B"/>
    <w:rsid w:val="00AE51EF"/>
    <w:rsid w:val="00AE5E2F"/>
    <w:rsid w:val="00AE6C21"/>
    <w:rsid w:val="00AE72AC"/>
    <w:rsid w:val="00AF04A6"/>
    <w:rsid w:val="00AF0A77"/>
    <w:rsid w:val="00AF0FE8"/>
    <w:rsid w:val="00AF2495"/>
    <w:rsid w:val="00AF3094"/>
    <w:rsid w:val="00AF324E"/>
    <w:rsid w:val="00AF3607"/>
    <w:rsid w:val="00AF4569"/>
    <w:rsid w:val="00AF4F99"/>
    <w:rsid w:val="00AF506F"/>
    <w:rsid w:val="00AF56C5"/>
    <w:rsid w:val="00AF571F"/>
    <w:rsid w:val="00AF59EE"/>
    <w:rsid w:val="00AF59F1"/>
    <w:rsid w:val="00AF63A1"/>
    <w:rsid w:val="00AF724C"/>
    <w:rsid w:val="00AF7B43"/>
    <w:rsid w:val="00B0040B"/>
    <w:rsid w:val="00B0044E"/>
    <w:rsid w:val="00B00C8F"/>
    <w:rsid w:val="00B00FDA"/>
    <w:rsid w:val="00B01048"/>
    <w:rsid w:val="00B01261"/>
    <w:rsid w:val="00B0161A"/>
    <w:rsid w:val="00B01732"/>
    <w:rsid w:val="00B01806"/>
    <w:rsid w:val="00B01D39"/>
    <w:rsid w:val="00B02E71"/>
    <w:rsid w:val="00B03795"/>
    <w:rsid w:val="00B03AB3"/>
    <w:rsid w:val="00B052C5"/>
    <w:rsid w:val="00B0563C"/>
    <w:rsid w:val="00B05786"/>
    <w:rsid w:val="00B06046"/>
    <w:rsid w:val="00B06EF2"/>
    <w:rsid w:val="00B06F8B"/>
    <w:rsid w:val="00B0708A"/>
    <w:rsid w:val="00B07597"/>
    <w:rsid w:val="00B07C0A"/>
    <w:rsid w:val="00B10937"/>
    <w:rsid w:val="00B10B0F"/>
    <w:rsid w:val="00B1201E"/>
    <w:rsid w:val="00B131A8"/>
    <w:rsid w:val="00B1505E"/>
    <w:rsid w:val="00B15450"/>
    <w:rsid w:val="00B157D5"/>
    <w:rsid w:val="00B1584B"/>
    <w:rsid w:val="00B15F10"/>
    <w:rsid w:val="00B15FBF"/>
    <w:rsid w:val="00B160E9"/>
    <w:rsid w:val="00B16279"/>
    <w:rsid w:val="00B16D2F"/>
    <w:rsid w:val="00B1774E"/>
    <w:rsid w:val="00B17763"/>
    <w:rsid w:val="00B2132E"/>
    <w:rsid w:val="00B221E8"/>
    <w:rsid w:val="00B22CB1"/>
    <w:rsid w:val="00B23CDE"/>
    <w:rsid w:val="00B24954"/>
    <w:rsid w:val="00B25555"/>
    <w:rsid w:val="00B269E8"/>
    <w:rsid w:val="00B27C7D"/>
    <w:rsid w:val="00B30767"/>
    <w:rsid w:val="00B30A2D"/>
    <w:rsid w:val="00B30AB9"/>
    <w:rsid w:val="00B31162"/>
    <w:rsid w:val="00B31238"/>
    <w:rsid w:val="00B3131F"/>
    <w:rsid w:val="00B323EE"/>
    <w:rsid w:val="00B336AE"/>
    <w:rsid w:val="00B33CB8"/>
    <w:rsid w:val="00B3464B"/>
    <w:rsid w:val="00B34C3B"/>
    <w:rsid w:val="00B35482"/>
    <w:rsid w:val="00B357A8"/>
    <w:rsid w:val="00B362DE"/>
    <w:rsid w:val="00B36881"/>
    <w:rsid w:val="00B36CA0"/>
    <w:rsid w:val="00B3747A"/>
    <w:rsid w:val="00B400C9"/>
    <w:rsid w:val="00B40906"/>
    <w:rsid w:val="00B40D45"/>
    <w:rsid w:val="00B414F7"/>
    <w:rsid w:val="00B41644"/>
    <w:rsid w:val="00B41C3F"/>
    <w:rsid w:val="00B42445"/>
    <w:rsid w:val="00B4254E"/>
    <w:rsid w:val="00B42B2C"/>
    <w:rsid w:val="00B42D0D"/>
    <w:rsid w:val="00B437A6"/>
    <w:rsid w:val="00B43DFF"/>
    <w:rsid w:val="00B44A92"/>
    <w:rsid w:val="00B453B2"/>
    <w:rsid w:val="00B45660"/>
    <w:rsid w:val="00B45CFD"/>
    <w:rsid w:val="00B46288"/>
    <w:rsid w:val="00B46884"/>
    <w:rsid w:val="00B47595"/>
    <w:rsid w:val="00B50444"/>
    <w:rsid w:val="00B50818"/>
    <w:rsid w:val="00B50D38"/>
    <w:rsid w:val="00B50D65"/>
    <w:rsid w:val="00B5142D"/>
    <w:rsid w:val="00B5143F"/>
    <w:rsid w:val="00B519C5"/>
    <w:rsid w:val="00B53011"/>
    <w:rsid w:val="00B5318E"/>
    <w:rsid w:val="00B53B5B"/>
    <w:rsid w:val="00B53E0F"/>
    <w:rsid w:val="00B5432C"/>
    <w:rsid w:val="00B544E0"/>
    <w:rsid w:val="00B54B03"/>
    <w:rsid w:val="00B55043"/>
    <w:rsid w:val="00B5784F"/>
    <w:rsid w:val="00B57B14"/>
    <w:rsid w:val="00B6105A"/>
    <w:rsid w:val="00B61766"/>
    <w:rsid w:val="00B62F96"/>
    <w:rsid w:val="00B63852"/>
    <w:rsid w:val="00B63AD6"/>
    <w:rsid w:val="00B6448A"/>
    <w:rsid w:val="00B647A1"/>
    <w:rsid w:val="00B64C14"/>
    <w:rsid w:val="00B65CC8"/>
    <w:rsid w:val="00B6669A"/>
    <w:rsid w:val="00B672E6"/>
    <w:rsid w:val="00B67D94"/>
    <w:rsid w:val="00B710E4"/>
    <w:rsid w:val="00B716FB"/>
    <w:rsid w:val="00B720C6"/>
    <w:rsid w:val="00B725F5"/>
    <w:rsid w:val="00B734E2"/>
    <w:rsid w:val="00B747F9"/>
    <w:rsid w:val="00B754F2"/>
    <w:rsid w:val="00B75CA4"/>
    <w:rsid w:val="00B7681E"/>
    <w:rsid w:val="00B769B0"/>
    <w:rsid w:val="00B774BF"/>
    <w:rsid w:val="00B77B8E"/>
    <w:rsid w:val="00B80A76"/>
    <w:rsid w:val="00B82165"/>
    <w:rsid w:val="00B8243C"/>
    <w:rsid w:val="00B82A4C"/>
    <w:rsid w:val="00B83060"/>
    <w:rsid w:val="00B83247"/>
    <w:rsid w:val="00B84629"/>
    <w:rsid w:val="00B84A38"/>
    <w:rsid w:val="00B869FD"/>
    <w:rsid w:val="00B86A4B"/>
    <w:rsid w:val="00B87BBF"/>
    <w:rsid w:val="00B90385"/>
    <w:rsid w:val="00B90D09"/>
    <w:rsid w:val="00B9108F"/>
    <w:rsid w:val="00B915B0"/>
    <w:rsid w:val="00B91D37"/>
    <w:rsid w:val="00B91F6C"/>
    <w:rsid w:val="00B9282A"/>
    <w:rsid w:val="00B92857"/>
    <w:rsid w:val="00B92A85"/>
    <w:rsid w:val="00B93E14"/>
    <w:rsid w:val="00B93EC1"/>
    <w:rsid w:val="00B946AC"/>
    <w:rsid w:val="00B946CC"/>
    <w:rsid w:val="00B9491D"/>
    <w:rsid w:val="00B94B79"/>
    <w:rsid w:val="00B95962"/>
    <w:rsid w:val="00B95B18"/>
    <w:rsid w:val="00B960BE"/>
    <w:rsid w:val="00B96F39"/>
    <w:rsid w:val="00B97731"/>
    <w:rsid w:val="00B97BB9"/>
    <w:rsid w:val="00BA019D"/>
    <w:rsid w:val="00BA11A6"/>
    <w:rsid w:val="00BA1310"/>
    <w:rsid w:val="00BA169C"/>
    <w:rsid w:val="00BA25BB"/>
    <w:rsid w:val="00BA2AD6"/>
    <w:rsid w:val="00BA39F8"/>
    <w:rsid w:val="00BA4225"/>
    <w:rsid w:val="00BA49CB"/>
    <w:rsid w:val="00BA5715"/>
    <w:rsid w:val="00BA5B1C"/>
    <w:rsid w:val="00BA6871"/>
    <w:rsid w:val="00BA7FA3"/>
    <w:rsid w:val="00BB010B"/>
    <w:rsid w:val="00BB084D"/>
    <w:rsid w:val="00BB0D03"/>
    <w:rsid w:val="00BB10B7"/>
    <w:rsid w:val="00BB2581"/>
    <w:rsid w:val="00BB3044"/>
    <w:rsid w:val="00BB30AF"/>
    <w:rsid w:val="00BB4643"/>
    <w:rsid w:val="00BB48B8"/>
    <w:rsid w:val="00BB4BBB"/>
    <w:rsid w:val="00BB5351"/>
    <w:rsid w:val="00BB5677"/>
    <w:rsid w:val="00BB5712"/>
    <w:rsid w:val="00BB5D95"/>
    <w:rsid w:val="00BB5E7D"/>
    <w:rsid w:val="00BB5F14"/>
    <w:rsid w:val="00BB6059"/>
    <w:rsid w:val="00BB6357"/>
    <w:rsid w:val="00BB6388"/>
    <w:rsid w:val="00BB63F2"/>
    <w:rsid w:val="00BB6B71"/>
    <w:rsid w:val="00BB6F42"/>
    <w:rsid w:val="00BB6FA8"/>
    <w:rsid w:val="00BB7287"/>
    <w:rsid w:val="00BC04FF"/>
    <w:rsid w:val="00BC0802"/>
    <w:rsid w:val="00BC0EBE"/>
    <w:rsid w:val="00BC0F6F"/>
    <w:rsid w:val="00BC100F"/>
    <w:rsid w:val="00BC2754"/>
    <w:rsid w:val="00BC3336"/>
    <w:rsid w:val="00BC36B0"/>
    <w:rsid w:val="00BC38B7"/>
    <w:rsid w:val="00BC38EF"/>
    <w:rsid w:val="00BC48FC"/>
    <w:rsid w:val="00BC4BBA"/>
    <w:rsid w:val="00BC4EC8"/>
    <w:rsid w:val="00BC55EA"/>
    <w:rsid w:val="00BC5946"/>
    <w:rsid w:val="00BC5CD0"/>
    <w:rsid w:val="00BC62B8"/>
    <w:rsid w:val="00BC6959"/>
    <w:rsid w:val="00BC735B"/>
    <w:rsid w:val="00BD0966"/>
    <w:rsid w:val="00BD0DF6"/>
    <w:rsid w:val="00BD1473"/>
    <w:rsid w:val="00BD1BC7"/>
    <w:rsid w:val="00BD1F60"/>
    <w:rsid w:val="00BD2A7F"/>
    <w:rsid w:val="00BD2AD9"/>
    <w:rsid w:val="00BD3241"/>
    <w:rsid w:val="00BD3D7A"/>
    <w:rsid w:val="00BD3E08"/>
    <w:rsid w:val="00BD45D3"/>
    <w:rsid w:val="00BD4ADE"/>
    <w:rsid w:val="00BD4F0D"/>
    <w:rsid w:val="00BD55E5"/>
    <w:rsid w:val="00BD5A4E"/>
    <w:rsid w:val="00BD6264"/>
    <w:rsid w:val="00BD6C9D"/>
    <w:rsid w:val="00BD7315"/>
    <w:rsid w:val="00BD7B34"/>
    <w:rsid w:val="00BD7C65"/>
    <w:rsid w:val="00BE01DA"/>
    <w:rsid w:val="00BE0662"/>
    <w:rsid w:val="00BE084B"/>
    <w:rsid w:val="00BE1025"/>
    <w:rsid w:val="00BE14E4"/>
    <w:rsid w:val="00BE1C17"/>
    <w:rsid w:val="00BE2910"/>
    <w:rsid w:val="00BE2E77"/>
    <w:rsid w:val="00BE30B0"/>
    <w:rsid w:val="00BE3E00"/>
    <w:rsid w:val="00BE3EE6"/>
    <w:rsid w:val="00BE3F32"/>
    <w:rsid w:val="00BE413A"/>
    <w:rsid w:val="00BE56EE"/>
    <w:rsid w:val="00BE70CB"/>
    <w:rsid w:val="00BE70EE"/>
    <w:rsid w:val="00BE74B5"/>
    <w:rsid w:val="00BE7CAB"/>
    <w:rsid w:val="00BF0F10"/>
    <w:rsid w:val="00BF17C9"/>
    <w:rsid w:val="00BF1C35"/>
    <w:rsid w:val="00BF1F07"/>
    <w:rsid w:val="00BF2869"/>
    <w:rsid w:val="00BF318A"/>
    <w:rsid w:val="00BF319A"/>
    <w:rsid w:val="00BF42F3"/>
    <w:rsid w:val="00BF46E3"/>
    <w:rsid w:val="00BF4E14"/>
    <w:rsid w:val="00BF54C5"/>
    <w:rsid w:val="00BF5E4F"/>
    <w:rsid w:val="00BF782E"/>
    <w:rsid w:val="00BF78A7"/>
    <w:rsid w:val="00C00123"/>
    <w:rsid w:val="00C00A8A"/>
    <w:rsid w:val="00C00E29"/>
    <w:rsid w:val="00C012CC"/>
    <w:rsid w:val="00C01E25"/>
    <w:rsid w:val="00C022D6"/>
    <w:rsid w:val="00C04286"/>
    <w:rsid w:val="00C048AF"/>
    <w:rsid w:val="00C04DD2"/>
    <w:rsid w:val="00C053EF"/>
    <w:rsid w:val="00C0561A"/>
    <w:rsid w:val="00C05FD2"/>
    <w:rsid w:val="00C06104"/>
    <w:rsid w:val="00C07190"/>
    <w:rsid w:val="00C07665"/>
    <w:rsid w:val="00C07DFC"/>
    <w:rsid w:val="00C07FC4"/>
    <w:rsid w:val="00C10938"/>
    <w:rsid w:val="00C11FE7"/>
    <w:rsid w:val="00C1208E"/>
    <w:rsid w:val="00C13067"/>
    <w:rsid w:val="00C13112"/>
    <w:rsid w:val="00C13237"/>
    <w:rsid w:val="00C1398F"/>
    <w:rsid w:val="00C156DA"/>
    <w:rsid w:val="00C15705"/>
    <w:rsid w:val="00C15929"/>
    <w:rsid w:val="00C15F99"/>
    <w:rsid w:val="00C160E6"/>
    <w:rsid w:val="00C17F89"/>
    <w:rsid w:val="00C20532"/>
    <w:rsid w:val="00C209F8"/>
    <w:rsid w:val="00C20C64"/>
    <w:rsid w:val="00C210C3"/>
    <w:rsid w:val="00C214E5"/>
    <w:rsid w:val="00C21800"/>
    <w:rsid w:val="00C22E8D"/>
    <w:rsid w:val="00C2324D"/>
    <w:rsid w:val="00C23F41"/>
    <w:rsid w:val="00C24554"/>
    <w:rsid w:val="00C245F1"/>
    <w:rsid w:val="00C24A77"/>
    <w:rsid w:val="00C250A7"/>
    <w:rsid w:val="00C25303"/>
    <w:rsid w:val="00C277EE"/>
    <w:rsid w:val="00C27DCF"/>
    <w:rsid w:val="00C316FF"/>
    <w:rsid w:val="00C31A57"/>
    <w:rsid w:val="00C31B0A"/>
    <w:rsid w:val="00C31CE1"/>
    <w:rsid w:val="00C325C7"/>
    <w:rsid w:val="00C32EF4"/>
    <w:rsid w:val="00C33122"/>
    <w:rsid w:val="00C34060"/>
    <w:rsid w:val="00C344C0"/>
    <w:rsid w:val="00C34DAC"/>
    <w:rsid w:val="00C35594"/>
    <w:rsid w:val="00C35A3E"/>
    <w:rsid w:val="00C35E5C"/>
    <w:rsid w:val="00C35FA0"/>
    <w:rsid w:val="00C36271"/>
    <w:rsid w:val="00C3639A"/>
    <w:rsid w:val="00C365D9"/>
    <w:rsid w:val="00C366A6"/>
    <w:rsid w:val="00C401F0"/>
    <w:rsid w:val="00C40A00"/>
    <w:rsid w:val="00C411CE"/>
    <w:rsid w:val="00C42E03"/>
    <w:rsid w:val="00C4303B"/>
    <w:rsid w:val="00C4321D"/>
    <w:rsid w:val="00C44330"/>
    <w:rsid w:val="00C4470A"/>
    <w:rsid w:val="00C448B0"/>
    <w:rsid w:val="00C44AFA"/>
    <w:rsid w:val="00C44C06"/>
    <w:rsid w:val="00C450DA"/>
    <w:rsid w:val="00C453F4"/>
    <w:rsid w:val="00C45496"/>
    <w:rsid w:val="00C456BF"/>
    <w:rsid w:val="00C459D6"/>
    <w:rsid w:val="00C45F00"/>
    <w:rsid w:val="00C461A5"/>
    <w:rsid w:val="00C462EB"/>
    <w:rsid w:val="00C466E8"/>
    <w:rsid w:val="00C4697F"/>
    <w:rsid w:val="00C47061"/>
    <w:rsid w:val="00C4706B"/>
    <w:rsid w:val="00C473CF"/>
    <w:rsid w:val="00C479AA"/>
    <w:rsid w:val="00C502E6"/>
    <w:rsid w:val="00C504F0"/>
    <w:rsid w:val="00C51606"/>
    <w:rsid w:val="00C51C67"/>
    <w:rsid w:val="00C52238"/>
    <w:rsid w:val="00C52961"/>
    <w:rsid w:val="00C5297F"/>
    <w:rsid w:val="00C53BC0"/>
    <w:rsid w:val="00C54062"/>
    <w:rsid w:val="00C54A4C"/>
    <w:rsid w:val="00C54D28"/>
    <w:rsid w:val="00C55C83"/>
    <w:rsid w:val="00C55F26"/>
    <w:rsid w:val="00C5654E"/>
    <w:rsid w:val="00C56C37"/>
    <w:rsid w:val="00C5710B"/>
    <w:rsid w:val="00C571DB"/>
    <w:rsid w:val="00C57599"/>
    <w:rsid w:val="00C57D4E"/>
    <w:rsid w:val="00C57F33"/>
    <w:rsid w:val="00C6073D"/>
    <w:rsid w:val="00C61D5B"/>
    <w:rsid w:val="00C6215B"/>
    <w:rsid w:val="00C6269C"/>
    <w:rsid w:val="00C62BC4"/>
    <w:rsid w:val="00C62E03"/>
    <w:rsid w:val="00C63D32"/>
    <w:rsid w:val="00C64591"/>
    <w:rsid w:val="00C646AE"/>
    <w:rsid w:val="00C64769"/>
    <w:rsid w:val="00C6555F"/>
    <w:rsid w:val="00C65DBA"/>
    <w:rsid w:val="00C661B2"/>
    <w:rsid w:val="00C6719F"/>
    <w:rsid w:val="00C67585"/>
    <w:rsid w:val="00C713FF"/>
    <w:rsid w:val="00C72433"/>
    <w:rsid w:val="00C72542"/>
    <w:rsid w:val="00C725D5"/>
    <w:rsid w:val="00C72DBB"/>
    <w:rsid w:val="00C7348D"/>
    <w:rsid w:val="00C73E97"/>
    <w:rsid w:val="00C7418A"/>
    <w:rsid w:val="00C746C6"/>
    <w:rsid w:val="00C75398"/>
    <w:rsid w:val="00C7553E"/>
    <w:rsid w:val="00C75CA3"/>
    <w:rsid w:val="00C75EE1"/>
    <w:rsid w:val="00C760AF"/>
    <w:rsid w:val="00C7657D"/>
    <w:rsid w:val="00C766A2"/>
    <w:rsid w:val="00C76715"/>
    <w:rsid w:val="00C76860"/>
    <w:rsid w:val="00C76C17"/>
    <w:rsid w:val="00C76D21"/>
    <w:rsid w:val="00C77058"/>
    <w:rsid w:val="00C77957"/>
    <w:rsid w:val="00C77A64"/>
    <w:rsid w:val="00C8095F"/>
    <w:rsid w:val="00C80EDC"/>
    <w:rsid w:val="00C81B7E"/>
    <w:rsid w:val="00C823E9"/>
    <w:rsid w:val="00C825C9"/>
    <w:rsid w:val="00C8275D"/>
    <w:rsid w:val="00C829F0"/>
    <w:rsid w:val="00C82A66"/>
    <w:rsid w:val="00C8307B"/>
    <w:rsid w:val="00C842C9"/>
    <w:rsid w:val="00C84C2C"/>
    <w:rsid w:val="00C85029"/>
    <w:rsid w:val="00C85D46"/>
    <w:rsid w:val="00C8604A"/>
    <w:rsid w:val="00C872EA"/>
    <w:rsid w:val="00C87D80"/>
    <w:rsid w:val="00C87DA8"/>
    <w:rsid w:val="00C87EEA"/>
    <w:rsid w:val="00C90E76"/>
    <w:rsid w:val="00C91796"/>
    <w:rsid w:val="00C91BEF"/>
    <w:rsid w:val="00C91E2F"/>
    <w:rsid w:val="00C92AA5"/>
    <w:rsid w:val="00C93001"/>
    <w:rsid w:val="00C934BC"/>
    <w:rsid w:val="00C94148"/>
    <w:rsid w:val="00C942F1"/>
    <w:rsid w:val="00C945F6"/>
    <w:rsid w:val="00C95569"/>
    <w:rsid w:val="00C95E83"/>
    <w:rsid w:val="00C9603B"/>
    <w:rsid w:val="00C961E7"/>
    <w:rsid w:val="00C966F0"/>
    <w:rsid w:val="00C96962"/>
    <w:rsid w:val="00C9698F"/>
    <w:rsid w:val="00C96D29"/>
    <w:rsid w:val="00C97050"/>
    <w:rsid w:val="00C97764"/>
    <w:rsid w:val="00C97A9B"/>
    <w:rsid w:val="00CA1482"/>
    <w:rsid w:val="00CA160A"/>
    <w:rsid w:val="00CA1874"/>
    <w:rsid w:val="00CA1F81"/>
    <w:rsid w:val="00CA2557"/>
    <w:rsid w:val="00CA2D9F"/>
    <w:rsid w:val="00CA362F"/>
    <w:rsid w:val="00CA4166"/>
    <w:rsid w:val="00CA426C"/>
    <w:rsid w:val="00CA4FE5"/>
    <w:rsid w:val="00CA510C"/>
    <w:rsid w:val="00CA564C"/>
    <w:rsid w:val="00CA6392"/>
    <w:rsid w:val="00CA66DB"/>
    <w:rsid w:val="00CA6994"/>
    <w:rsid w:val="00CB0036"/>
    <w:rsid w:val="00CB143D"/>
    <w:rsid w:val="00CB1887"/>
    <w:rsid w:val="00CB1A9F"/>
    <w:rsid w:val="00CB20B5"/>
    <w:rsid w:val="00CB32E3"/>
    <w:rsid w:val="00CB4045"/>
    <w:rsid w:val="00CB48B9"/>
    <w:rsid w:val="00CB4FD7"/>
    <w:rsid w:val="00CB5573"/>
    <w:rsid w:val="00CB575E"/>
    <w:rsid w:val="00CB5E1A"/>
    <w:rsid w:val="00CB6C3D"/>
    <w:rsid w:val="00CB6FB7"/>
    <w:rsid w:val="00CB7998"/>
    <w:rsid w:val="00CB7B35"/>
    <w:rsid w:val="00CB7D60"/>
    <w:rsid w:val="00CC05C1"/>
    <w:rsid w:val="00CC1880"/>
    <w:rsid w:val="00CC3214"/>
    <w:rsid w:val="00CC3587"/>
    <w:rsid w:val="00CC404B"/>
    <w:rsid w:val="00CC4739"/>
    <w:rsid w:val="00CC501D"/>
    <w:rsid w:val="00CC50A8"/>
    <w:rsid w:val="00CC50E4"/>
    <w:rsid w:val="00CC6497"/>
    <w:rsid w:val="00CC7B18"/>
    <w:rsid w:val="00CD0207"/>
    <w:rsid w:val="00CD065B"/>
    <w:rsid w:val="00CD07E7"/>
    <w:rsid w:val="00CD0B08"/>
    <w:rsid w:val="00CD22DD"/>
    <w:rsid w:val="00CD24E3"/>
    <w:rsid w:val="00CD3F2A"/>
    <w:rsid w:val="00CD493C"/>
    <w:rsid w:val="00CD4EC1"/>
    <w:rsid w:val="00CD56D5"/>
    <w:rsid w:val="00CD61AF"/>
    <w:rsid w:val="00CD693A"/>
    <w:rsid w:val="00CD6CA9"/>
    <w:rsid w:val="00CD7440"/>
    <w:rsid w:val="00CD7F2F"/>
    <w:rsid w:val="00CE03CE"/>
    <w:rsid w:val="00CE0A42"/>
    <w:rsid w:val="00CE0B27"/>
    <w:rsid w:val="00CE0D6E"/>
    <w:rsid w:val="00CE1428"/>
    <w:rsid w:val="00CE1BB5"/>
    <w:rsid w:val="00CE2299"/>
    <w:rsid w:val="00CE2B2B"/>
    <w:rsid w:val="00CE33F8"/>
    <w:rsid w:val="00CE4C96"/>
    <w:rsid w:val="00CE517C"/>
    <w:rsid w:val="00CE59FB"/>
    <w:rsid w:val="00CE5A60"/>
    <w:rsid w:val="00CE5CFA"/>
    <w:rsid w:val="00CE5D23"/>
    <w:rsid w:val="00CE5F07"/>
    <w:rsid w:val="00CE6551"/>
    <w:rsid w:val="00CE6609"/>
    <w:rsid w:val="00CE6E79"/>
    <w:rsid w:val="00CE71F1"/>
    <w:rsid w:val="00CE7820"/>
    <w:rsid w:val="00CF01A1"/>
    <w:rsid w:val="00CF0488"/>
    <w:rsid w:val="00CF0F44"/>
    <w:rsid w:val="00CF22BF"/>
    <w:rsid w:val="00CF2F4A"/>
    <w:rsid w:val="00CF3A3A"/>
    <w:rsid w:val="00CF3EA3"/>
    <w:rsid w:val="00CF46BA"/>
    <w:rsid w:val="00CF4D5E"/>
    <w:rsid w:val="00CF53DA"/>
    <w:rsid w:val="00CF552C"/>
    <w:rsid w:val="00CF67D4"/>
    <w:rsid w:val="00CF75EE"/>
    <w:rsid w:val="00CF7E2C"/>
    <w:rsid w:val="00D002CA"/>
    <w:rsid w:val="00D008D4"/>
    <w:rsid w:val="00D00982"/>
    <w:rsid w:val="00D0117E"/>
    <w:rsid w:val="00D024D9"/>
    <w:rsid w:val="00D0288B"/>
    <w:rsid w:val="00D02B9C"/>
    <w:rsid w:val="00D0427B"/>
    <w:rsid w:val="00D048BE"/>
    <w:rsid w:val="00D04BCA"/>
    <w:rsid w:val="00D05354"/>
    <w:rsid w:val="00D056F2"/>
    <w:rsid w:val="00D0584D"/>
    <w:rsid w:val="00D06318"/>
    <w:rsid w:val="00D06C01"/>
    <w:rsid w:val="00D10AFC"/>
    <w:rsid w:val="00D10D2D"/>
    <w:rsid w:val="00D11206"/>
    <w:rsid w:val="00D118F1"/>
    <w:rsid w:val="00D1379B"/>
    <w:rsid w:val="00D13A40"/>
    <w:rsid w:val="00D13D5C"/>
    <w:rsid w:val="00D1459F"/>
    <w:rsid w:val="00D1507D"/>
    <w:rsid w:val="00D153F4"/>
    <w:rsid w:val="00D158EF"/>
    <w:rsid w:val="00D15E0C"/>
    <w:rsid w:val="00D16090"/>
    <w:rsid w:val="00D16ACD"/>
    <w:rsid w:val="00D16B7C"/>
    <w:rsid w:val="00D1778E"/>
    <w:rsid w:val="00D2123C"/>
    <w:rsid w:val="00D21C12"/>
    <w:rsid w:val="00D21D9C"/>
    <w:rsid w:val="00D2252A"/>
    <w:rsid w:val="00D22AD1"/>
    <w:rsid w:val="00D22B99"/>
    <w:rsid w:val="00D23C27"/>
    <w:rsid w:val="00D2446D"/>
    <w:rsid w:val="00D24A2B"/>
    <w:rsid w:val="00D24A4C"/>
    <w:rsid w:val="00D24E5B"/>
    <w:rsid w:val="00D24E6B"/>
    <w:rsid w:val="00D25D79"/>
    <w:rsid w:val="00D261EF"/>
    <w:rsid w:val="00D26331"/>
    <w:rsid w:val="00D27349"/>
    <w:rsid w:val="00D277A9"/>
    <w:rsid w:val="00D27FF0"/>
    <w:rsid w:val="00D30302"/>
    <w:rsid w:val="00D30AEE"/>
    <w:rsid w:val="00D30FED"/>
    <w:rsid w:val="00D313B7"/>
    <w:rsid w:val="00D32453"/>
    <w:rsid w:val="00D333E4"/>
    <w:rsid w:val="00D33696"/>
    <w:rsid w:val="00D337D0"/>
    <w:rsid w:val="00D3453D"/>
    <w:rsid w:val="00D35132"/>
    <w:rsid w:val="00D351E0"/>
    <w:rsid w:val="00D35A7E"/>
    <w:rsid w:val="00D35B7E"/>
    <w:rsid w:val="00D36794"/>
    <w:rsid w:val="00D3750E"/>
    <w:rsid w:val="00D37596"/>
    <w:rsid w:val="00D37C8A"/>
    <w:rsid w:val="00D37D96"/>
    <w:rsid w:val="00D40213"/>
    <w:rsid w:val="00D40CA2"/>
    <w:rsid w:val="00D4227D"/>
    <w:rsid w:val="00D42474"/>
    <w:rsid w:val="00D42777"/>
    <w:rsid w:val="00D427DE"/>
    <w:rsid w:val="00D42DB4"/>
    <w:rsid w:val="00D43014"/>
    <w:rsid w:val="00D4305D"/>
    <w:rsid w:val="00D43106"/>
    <w:rsid w:val="00D4378D"/>
    <w:rsid w:val="00D43B01"/>
    <w:rsid w:val="00D44536"/>
    <w:rsid w:val="00D4495F"/>
    <w:rsid w:val="00D44A38"/>
    <w:rsid w:val="00D44B61"/>
    <w:rsid w:val="00D45FB6"/>
    <w:rsid w:val="00D46058"/>
    <w:rsid w:val="00D46F70"/>
    <w:rsid w:val="00D511DD"/>
    <w:rsid w:val="00D51851"/>
    <w:rsid w:val="00D54304"/>
    <w:rsid w:val="00D54316"/>
    <w:rsid w:val="00D54F7F"/>
    <w:rsid w:val="00D55ABE"/>
    <w:rsid w:val="00D55DF4"/>
    <w:rsid w:val="00D56411"/>
    <w:rsid w:val="00D56F37"/>
    <w:rsid w:val="00D57023"/>
    <w:rsid w:val="00D57071"/>
    <w:rsid w:val="00D57A45"/>
    <w:rsid w:val="00D601B9"/>
    <w:rsid w:val="00D60A86"/>
    <w:rsid w:val="00D60CA5"/>
    <w:rsid w:val="00D60D2D"/>
    <w:rsid w:val="00D6145E"/>
    <w:rsid w:val="00D61A77"/>
    <w:rsid w:val="00D62DEB"/>
    <w:rsid w:val="00D632D3"/>
    <w:rsid w:val="00D63B8F"/>
    <w:rsid w:val="00D63CAA"/>
    <w:rsid w:val="00D6401A"/>
    <w:rsid w:val="00D6481C"/>
    <w:rsid w:val="00D64907"/>
    <w:rsid w:val="00D64948"/>
    <w:rsid w:val="00D65457"/>
    <w:rsid w:val="00D655D3"/>
    <w:rsid w:val="00D65852"/>
    <w:rsid w:val="00D6590C"/>
    <w:rsid w:val="00D65D6D"/>
    <w:rsid w:val="00D65E2F"/>
    <w:rsid w:val="00D66095"/>
    <w:rsid w:val="00D6672F"/>
    <w:rsid w:val="00D70556"/>
    <w:rsid w:val="00D70CF6"/>
    <w:rsid w:val="00D70EAD"/>
    <w:rsid w:val="00D70FAE"/>
    <w:rsid w:val="00D710E7"/>
    <w:rsid w:val="00D71698"/>
    <w:rsid w:val="00D72E26"/>
    <w:rsid w:val="00D74262"/>
    <w:rsid w:val="00D742D3"/>
    <w:rsid w:val="00D7448B"/>
    <w:rsid w:val="00D74CFE"/>
    <w:rsid w:val="00D75479"/>
    <w:rsid w:val="00D75509"/>
    <w:rsid w:val="00D75586"/>
    <w:rsid w:val="00D757D0"/>
    <w:rsid w:val="00D758FA"/>
    <w:rsid w:val="00D75B8C"/>
    <w:rsid w:val="00D76B5B"/>
    <w:rsid w:val="00D76CF0"/>
    <w:rsid w:val="00D773F0"/>
    <w:rsid w:val="00D779C3"/>
    <w:rsid w:val="00D77F84"/>
    <w:rsid w:val="00D77F99"/>
    <w:rsid w:val="00D80459"/>
    <w:rsid w:val="00D805BB"/>
    <w:rsid w:val="00D80769"/>
    <w:rsid w:val="00D8189C"/>
    <w:rsid w:val="00D81EEF"/>
    <w:rsid w:val="00D828B2"/>
    <w:rsid w:val="00D83C28"/>
    <w:rsid w:val="00D8420F"/>
    <w:rsid w:val="00D846D8"/>
    <w:rsid w:val="00D84ABC"/>
    <w:rsid w:val="00D85344"/>
    <w:rsid w:val="00D85E5E"/>
    <w:rsid w:val="00D8636A"/>
    <w:rsid w:val="00D86EB1"/>
    <w:rsid w:val="00D90EB0"/>
    <w:rsid w:val="00D921CE"/>
    <w:rsid w:val="00D92535"/>
    <w:rsid w:val="00D93201"/>
    <w:rsid w:val="00D9328D"/>
    <w:rsid w:val="00D936ED"/>
    <w:rsid w:val="00D9410B"/>
    <w:rsid w:val="00D95031"/>
    <w:rsid w:val="00D96734"/>
    <w:rsid w:val="00D969F6"/>
    <w:rsid w:val="00D96D46"/>
    <w:rsid w:val="00D971DE"/>
    <w:rsid w:val="00D973E9"/>
    <w:rsid w:val="00D97869"/>
    <w:rsid w:val="00DA0313"/>
    <w:rsid w:val="00DA0559"/>
    <w:rsid w:val="00DA186D"/>
    <w:rsid w:val="00DA1B7F"/>
    <w:rsid w:val="00DA1FEF"/>
    <w:rsid w:val="00DA21A1"/>
    <w:rsid w:val="00DA284D"/>
    <w:rsid w:val="00DA4083"/>
    <w:rsid w:val="00DA438B"/>
    <w:rsid w:val="00DA52B9"/>
    <w:rsid w:val="00DA69BF"/>
    <w:rsid w:val="00DA7443"/>
    <w:rsid w:val="00DB0338"/>
    <w:rsid w:val="00DB0D80"/>
    <w:rsid w:val="00DB1085"/>
    <w:rsid w:val="00DB1615"/>
    <w:rsid w:val="00DB18A0"/>
    <w:rsid w:val="00DB1AE7"/>
    <w:rsid w:val="00DB227A"/>
    <w:rsid w:val="00DB228B"/>
    <w:rsid w:val="00DB2C15"/>
    <w:rsid w:val="00DB2F04"/>
    <w:rsid w:val="00DB351C"/>
    <w:rsid w:val="00DB3720"/>
    <w:rsid w:val="00DB3FFB"/>
    <w:rsid w:val="00DB4696"/>
    <w:rsid w:val="00DB4A34"/>
    <w:rsid w:val="00DB534B"/>
    <w:rsid w:val="00DB537F"/>
    <w:rsid w:val="00DB54AE"/>
    <w:rsid w:val="00DB6261"/>
    <w:rsid w:val="00DB6E1B"/>
    <w:rsid w:val="00DB6F1B"/>
    <w:rsid w:val="00DB7235"/>
    <w:rsid w:val="00DB72BE"/>
    <w:rsid w:val="00DB755C"/>
    <w:rsid w:val="00DB76D3"/>
    <w:rsid w:val="00DB7DAA"/>
    <w:rsid w:val="00DC0174"/>
    <w:rsid w:val="00DC0838"/>
    <w:rsid w:val="00DC0B11"/>
    <w:rsid w:val="00DC0D5C"/>
    <w:rsid w:val="00DC1350"/>
    <w:rsid w:val="00DC170D"/>
    <w:rsid w:val="00DC1808"/>
    <w:rsid w:val="00DC2037"/>
    <w:rsid w:val="00DC258B"/>
    <w:rsid w:val="00DC2A6F"/>
    <w:rsid w:val="00DC2DDB"/>
    <w:rsid w:val="00DC2FD3"/>
    <w:rsid w:val="00DC3668"/>
    <w:rsid w:val="00DC445E"/>
    <w:rsid w:val="00DC46C4"/>
    <w:rsid w:val="00DC4E5D"/>
    <w:rsid w:val="00DC4FE0"/>
    <w:rsid w:val="00DC503E"/>
    <w:rsid w:val="00DC57F8"/>
    <w:rsid w:val="00DC5907"/>
    <w:rsid w:val="00DC5DBB"/>
    <w:rsid w:val="00DC5F3C"/>
    <w:rsid w:val="00DC6720"/>
    <w:rsid w:val="00DC6BDE"/>
    <w:rsid w:val="00DC6F42"/>
    <w:rsid w:val="00DC7017"/>
    <w:rsid w:val="00DC7C77"/>
    <w:rsid w:val="00DD0782"/>
    <w:rsid w:val="00DD0D2D"/>
    <w:rsid w:val="00DD11C4"/>
    <w:rsid w:val="00DD1208"/>
    <w:rsid w:val="00DD349D"/>
    <w:rsid w:val="00DD47A3"/>
    <w:rsid w:val="00DD5F21"/>
    <w:rsid w:val="00DD63F8"/>
    <w:rsid w:val="00DD7BD8"/>
    <w:rsid w:val="00DE0214"/>
    <w:rsid w:val="00DE0454"/>
    <w:rsid w:val="00DE08B0"/>
    <w:rsid w:val="00DE0C56"/>
    <w:rsid w:val="00DE0CB1"/>
    <w:rsid w:val="00DE133D"/>
    <w:rsid w:val="00DE16CA"/>
    <w:rsid w:val="00DE2F19"/>
    <w:rsid w:val="00DE3102"/>
    <w:rsid w:val="00DE39BF"/>
    <w:rsid w:val="00DE3FEC"/>
    <w:rsid w:val="00DE40DD"/>
    <w:rsid w:val="00DE43F9"/>
    <w:rsid w:val="00DE44D2"/>
    <w:rsid w:val="00DE4C2C"/>
    <w:rsid w:val="00DE4D30"/>
    <w:rsid w:val="00DE6F6E"/>
    <w:rsid w:val="00DE7134"/>
    <w:rsid w:val="00DE79D5"/>
    <w:rsid w:val="00DE7F35"/>
    <w:rsid w:val="00DF0BF0"/>
    <w:rsid w:val="00DF0FA5"/>
    <w:rsid w:val="00DF14C3"/>
    <w:rsid w:val="00DF1EE5"/>
    <w:rsid w:val="00DF20A4"/>
    <w:rsid w:val="00DF2492"/>
    <w:rsid w:val="00DF267E"/>
    <w:rsid w:val="00DF3586"/>
    <w:rsid w:val="00DF3AB3"/>
    <w:rsid w:val="00DF4824"/>
    <w:rsid w:val="00DF57FE"/>
    <w:rsid w:val="00DF5EA8"/>
    <w:rsid w:val="00DF60D9"/>
    <w:rsid w:val="00DF621E"/>
    <w:rsid w:val="00DF64D0"/>
    <w:rsid w:val="00DF6B43"/>
    <w:rsid w:val="00DF7EBF"/>
    <w:rsid w:val="00E00992"/>
    <w:rsid w:val="00E00E4B"/>
    <w:rsid w:val="00E00F69"/>
    <w:rsid w:val="00E012F2"/>
    <w:rsid w:val="00E016C5"/>
    <w:rsid w:val="00E02765"/>
    <w:rsid w:val="00E02ECF"/>
    <w:rsid w:val="00E031A3"/>
    <w:rsid w:val="00E03F1B"/>
    <w:rsid w:val="00E04508"/>
    <w:rsid w:val="00E05439"/>
    <w:rsid w:val="00E0635A"/>
    <w:rsid w:val="00E06911"/>
    <w:rsid w:val="00E07ADD"/>
    <w:rsid w:val="00E10464"/>
    <w:rsid w:val="00E10A6B"/>
    <w:rsid w:val="00E1130C"/>
    <w:rsid w:val="00E11D1D"/>
    <w:rsid w:val="00E12757"/>
    <w:rsid w:val="00E12A74"/>
    <w:rsid w:val="00E13109"/>
    <w:rsid w:val="00E14B99"/>
    <w:rsid w:val="00E16074"/>
    <w:rsid w:val="00E16441"/>
    <w:rsid w:val="00E1695F"/>
    <w:rsid w:val="00E173FD"/>
    <w:rsid w:val="00E17748"/>
    <w:rsid w:val="00E17964"/>
    <w:rsid w:val="00E17D77"/>
    <w:rsid w:val="00E21C6B"/>
    <w:rsid w:val="00E22312"/>
    <w:rsid w:val="00E23833"/>
    <w:rsid w:val="00E24A3B"/>
    <w:rsid w:val="00E250AA"/>
    <w:rsid w:val="00E25EE3"/>
    <w:rsid w:val="00E25F3B"/>
    <w:rsid w:val="00E26A80"/>
    <w:rsid w:val="00E26CEE"/>
    <w:rsid w:val="00E26EC7"/>
    <w:rsid w:val="00E27455"/>
    <w:rsid w:val="00E2759B"/>
    <w:rsid w:val="00E301CF"/>
    <w:rsid w:val="00E30219"/>
    <w:rsid w:val="00E30499"/>
    <w:rsid w:val="00E31A27"/>
    <w:rsid w:val="00E3322C"/>
    <w:rsid w:val="00E345D2"/>
    <w:rsid w:val="00E34FB3"/>
    <w:rsid w:val="00E35CFB"/>
    <w:rsid w:val="00E361C8"/>
    <w:rsid w:val="00E36411"/>
    <w:rsid w:val="00E37137"/>
    <w:rsid w:val="00E3713B"/>
    <w:rsid w:val="00E37361"/>
    <w:rsid w:val="00E37766"/>
    <w:rsid w:val="00E37DAC"/>
    <w:rsid w:val="00E37DEB"/>
    <w:rsid w:val="00E405FF"/>
    <w:rsid w:val="00E41673"/>
    <w:rsid w:val="00E41C47"/>
    <w:rsid w:val="00E44807"/>
    <w:rsid w:val="00E44F34"/>
    <w:rsid w:val="00E45A56"/>
    <w:rsid w:val="00E46A88"/>
    <w:rsid w:val="00E4723B"/>
    <w:rsid w:val="00E4760D"/>
    <w:rsid w:val="00E47B0C"/>
    <w:rsid w:val="00E50074"/>
    <w:rsid w:val="00E5013E"/>
    <w:rsid w:val="00E5014A"/>
    <w:rsid w:val="00E503D9"/>
    <w:rsid w:val="00E50F1A"/>
    <w:rsid w:val="00E51A2D"/>
    <w:rsid w:val="00E51AC9"/>
    <w:rsid w:val="00E5257E"/>
    <w:rsid w:val="00E530F9"/>
    <w:rsid w:val="00E53B0F"/>
    <w:rsid w:val="00E54E01"/>
    <w:rsid w:val="00E5655E"/>
    <w:rsid w:val="00E57560"/>
    <w:rsid w:val="00E57692"/>
    <w:rsid w:val="00E57DDB"/>
    <w:rsid w:val="00E60106"/>
    <w:rsid w:val="00E6087E"/>
    <w:rsid w:val="00E60F5E"/>
    <w:rsid w:val="00E611A3"/>
    <w:rsid w:val="00E61C74"/>
    <w:rsid w:val="00E62656"/>
    <w:rsid w:val="00E62DC6"/>
    <w:rsid w:val="00E65C0B"/>
    <w:rsid w:val="00E66876"/>
    <w:rsid w:val="00E674CA"/>
    <w:rsid w:val="00E67E5F"/>
    <w:rsid w:val="00E702E9"/>
    <w:rsid w:val="00E7083B"/>
    <w:rsid w:val="00E712DC"/>
    <w:rsid w:val="00E71F5E"/>
    <w:rsid w:val="00E71F63"/>
    <w:rsid w:val="00E72031"/>
    <w:rsid w:val="00E72324"/>
    <w:rsid w:val="00E7259B"/>
    <w:rsid w:val="00E727E9"/>
    <w:rsid w:val="00E729F6"/>
    <w:rsid w:val="00E72F77"/>
    <w:rsid w:val="00E743D0"/>
    <w:rsid w:val="00E747C3"/>
    <w:rsid w:val="00E74A76"/>
    <w:rsid w:val="00E76E75"/>
    <w:rsid w:val="00E774F3"/>
    <w:rsid w:val="00E801D2"/>
    <w:rsid w:val="00E813A2"/>
    <w:rsid w:val="00E833E0"/>
    <w:rsid w:val="00E83CE7"/>
    <w:rsid w:val="00E84ACC"/>
    <w:rsid w:val="00E85779"/>
    <w:rsid w:val="00E85BE2"/>
    <w:rsid w:val="00E85FB1"/>
    <w:rsid w:val="00E8623D"/>
    <w:rsid w:val="00E86529"/>
    <w:rsid w:val="00E86758"/>
    <w:rsid w:val="00E87605"/>
    <w:rsid w:val="00E9160F"/>
    <w:rsid w:val="00E9240D"/>
    <w:rsid w:val="00E926C0"/>
    <w:rsid w:val="00E92BCF"/>
    <w:rsid w:val="00E93CD8"/>
    <w:rsid w:val="00E94090"/>
    <w:rsid w:val="00E94F00"/>
    <w:rsid w:val="00E9532A"/>
    <w:rsid w:val="00E95AC4"/>
    <w:rsid w:val="00E967DE"/>
    <w:rsid w:val="00E97066"/>
    <w:rsid w:val="00E97299"/>
    <w:rsid w:val="00E97907"/>
    <w:rsid w:val="00EA0181"/>
    <w:rsid w:val="00EA048F"/>
    <w:rsid w:val="00EA09BA"/>
    <w:rsid w:val="00EA0E44"/>
    <w:rsid w:val="00EA120D"/>
    <w:rsid w:val="00EA124E"/>
    <w:rsid w:val="00EA18BF"/>
    <w:rsid w:val="00EA329B"/>
    <w:rsid w:val="00EA38BC"/>
    <w:rsid w:val="00EA41C9"/>
    <w:rsid w:val="00EA4520"/>
    <w:rsid w:val="00EA475C"/>
    <w:rsid w:val="00EA5B6E"/>
    <w:rsid w:val="00EA6386"/>
    <w:rsid w:val="00EA6AD4"/>
    <w:rsid w:val="00EA764E"/>
    <w:rsid w:val="00EB0037"/>
    <w:rsid w:val="00EB006B"/>
    <w:rsid w:val="00EB0C1A"/>
    <w:rsid w:val="00EB10A9"/>
    <w:rsid w:val="00EB110E"/>
    <w:rsid w:val="00EB1160"/>
    <w:rsid w:val="00EB2D37"/>
    <w:rsid w:val="00EB3338"/>
    <w:rsid w:val="00EB3D9E"/>
    <w:rsid w:val="00EB3F3C"/>
    <w:rsid w:val="00EB5087"/>
    <w:rsid w:val="00EB583F"/>
    <w:rsid w:val="00EB676B"/>
    <w:rsid w:val="00EB73AF"/>
    <w:rsid w:val="00EB756D"/>
    <w:rsid w:val="00EC0374"/>
    <w:rsid w:val="00EC114D"/>
    <w:rsid w:val="00EC1927"/>
    <w:rsid w:val="00EC234A"/>
    <w:rsid w:val="00EC2F05"/>
    <w:rsid w:val="00EC38E0"/>
    <w:rsid w:val="00EC4012"/>
    <w:rsid w:val="00EC432F"/>
    <w:rsid w:val="00EC463E"/>
    <w:rsid w:val="00EC46C7"/>
    <w:rsid w:val="00EC475D"/>
    <w:rsid w:val="00EC4820"/>
    <w:rsid w:val="00EC58F7"/>
    <w:rsid w:val="00EC5A2E"/>
    <w:rsid w:val="00EC5D0E"/>
    <w:rsid w:val="00EC5D2C"/>
    <w:rsid w:val="00EC6DBC"/>
    <w:rsid w:val="00EC729A"/>
    <w:rsid w:val="00ED071E"/>
    <w:rsid w:val="00ED0BF2"/>
    <w:rsid w:val="00ED1061"/>
    <w:rsid w:val="00ED1657"/>
    <w:rsid w:val="00ED2A03"/>
    <w:rsid w:val="00ED2F5E"/>
    <w:rsid w:val="00ED35D3"/>
    <w:rsid w:val="00ED36B2"/>
    <w:rsid w:val="00ED3B84"/>
    <w:rsid w:val="00ED460A"/>
    <w:rsid w:val="00ED4DB1"/>
    <w:rsid w:val="00ED4F9E"/>
    <w:rsid w:val="00ED62B6"/>
    <w:rsid w:val="00ED649E"/>
    <w:rsid w:val="00ED66BE"/>
    <w:rsid w:val="00ED7395"/>
    <w:rsid w:val="00ED79F5"/>
    <w:rsid w:val="00ED7C39"/>
    <w:rsid w:val="00ED7CC9"/>
    <w:rsid w:val="00ED7DD6"/>
    <w:rsid w:val="00EE0740"/>
    <w:rsid w:val="00EE0E91"/>
    <w:rsid w:val="00EE1994"/>
    <w:rsid w:val="00EE1D5B"/>
    <w:rsid w:val="00EE29FE"/>
    <w:rsid w:val="00EE3140"/>
    <w:rsid w:val="00EE320A"/>
    <w:rsid w:val="00EE340F"/>
    <w:rsid w:val="00EE393D"/>
    <w:rsid w:val="00EE4068"/>
    <w:rsid w:val="00EE4145"/>
    <w:rsid w:val="00EE4A3F"/>
    <w:rsid w:val="00EE4BFD"/>
    <w:rsid w:val="00EE4DFF"/>
    <w:rsid w:val="00EE5418"/>
    <w:rsid w:val="00EE65DD"/>
    <w:rsid w:val="00EE6BB5"/>
    <w:rsid w:val="00EF0000"/>
    <w:rsid w:val="00EF009A"/>
    <w:rsid w:val="00EF00EC"/>
    <w:rsid w:val="00EF1287"/>
    <w:rsid w:val="00EF13B5"/>
    <w:rsid w:val="00EF1408"/>
    <w:rsid w:val="00EF1DF7"/>
    <w:rsid w:val="00EF214F"/>
    <w:rsid w:val="00EF3160"/>
    <w:rsid w:val="00EF3945"/>
    <w:rsid w:val="00EF4A4C"/>
    <w:rsid w:val="00EF4C18"/>
    <w:rsid w:val="00EF4F1E"/>
    <w:rsid w:val="00EF5818"/>
    <w:rsid w:val="00EF58CD"/>
    <w:rsid w:val="00EF5D0A"/>
    <w:rsid w:val="00EF676F"/>
    <w:rsid w:val="00EF7B29"/>
    <w:rsid w:val="00EF7D07"/>
    <w:rsid w:val="00EF7D35"/>
    <w:rsid w:val="00F016E7"/>
    <w:rsid w:val="00F01D05"/>
    <w:rsid w:val="00F0290F"/>
    <w:rsid w:val="00F02D96"/>
    <w:rsid w:val="00F038A3"/>
    <w:rsid w:val="00F042B3"/>
    <w:rsid w:val="00F05F89"/>
    <w:rsid w:val="00F066BD"/>
    <w:rsid w:val="00F07A57"/>
    <w:rsid w:val="00F07B61"/>
    <w:rsid w:val="00F07C1F"/>
    <w:rsid w:val="00F10CD2"/>
    <w:rsid w:val="00F134A8"/>
    <w:rsid w:val="00F13532"/>
    <w:rsid w:val="00F13CE9"/>
    <w:rsid w:val="00F13E5E"/>
    <w:rsid w:val="00F145FD"/>
    <w:rsid w:val="00F14FB4"/>
    <w:rsid w:val="00F150A3"/>
    <w:rsid w:val="00F16780"/>
    <w:rsid w:val="00F16A01"/>
    <w:rsid w:val="00F174A9"/>
    <w:rsid w:val="00F17FB2"/>
    <w:rsid w:val="00F20420"/>
    <w:rsid w:val="00F20534"/>
    <w:rsid w:val="00F209D8"/>
    <w:rsid w:val="00F20DC0"/>
    <w:rsid w:val="00F20FF1"/>
    <w:rsid w:val="00F21482"/>
    <w:rsid w:val="00F21686"/>
    <w:rsid w:val="00F23005"/>
    <w:rsid w:val="00F2303D"/>
    <w:rsid w:val="00F242B2"/>
    <w:rsid w:val="00F245A9"/>
    <w:rsid w:val="00F251AA"/>
    <w:rsid w:val="00F252C1"/>
    <w:rsid w:val="00F25E28"/>
    <w:rsid w:val="00F261DD"/>
    <w:rsid w:val="00F267E3"/>
    <w:rsid w:val="00F275BB"/>
    <w:rsid w:val="00F27C1E"/>
    <w:rsid w:val="00F27DE4"/>
    <w:rsid w:val="00F3011E"/>
    <w:rsid w:val="00F30E69"/>
    <w:rsid w:val="00F3171A"/>
    <w:rsid w:val="00F319CF"/>
    <w:rsid w:val="00F32016"/>
    <w:rsid w:val="00F3209E"/>
    <w:rsid w:val="00F32329"/>
    <w:rsid w:val="00F327C1"/>
    <w:rsid w:val="00F330E3"/>
    <w:rsid w:val="00F33278"/>
    <w:rsid w:val="00F332BB"/>
    <w:rsid w:val="00F34101"/>
    <w:rsid w:val="00F3446F"/>
    <w:rsid w:val="00F34C96"/>
    <w:rsid w:val="00F34EC1"/>
    <w:rsid w:val="00F35A2D"/>
    <w:rsid w:val="00F35BDA"/>
    <w:rsid w:val="00F35DBD"/>
    <w:rsid w:val="00F3657A"/>
    <w:rsid w:val="00F36EAB"/>
    <w:rsid w:val="00F374E3"/>
    <w:rsid w:val="00F379C8"/>
    <w:rsid w:val="00F379F0"/>
    <w:rsid w:val="00F37B25"/>
    <w:rsid w:val="00F403F8"/>
    <w:rsid w:val="00F4157A"/>
    <w:rsid w:val="00F415FE"/>
    <w:rsid w:val="00F4164A"/>
    <w:rsid w:val="00F41682"/>
    <w:rsid w:val="00F41B66"/>
    <w:rsid w:val="00F41FA2"/>
    <w:rsid w:val="00F4340E"/>
    <w:rsid w:val="00F43CED"/>
    <w:rsid w:val="00F43FED"/>
    <w:rsid w:val="00F44451"/>
    <w:rsid w:val="00F448E0"/>
    <w:rsid w:val="00F44EEF"/>
    <w:rsid w:val="00F45A01"/>
    <w:rsid w:val="00F46A18"/>
    <w:rsid w:val="00F46FB3"/>
    <w:rsid w:val="00F47069"/>
    <w:rsid w:val="00F471FF"/>
    <w:rsid w:val="00F4746C"/>
    <w:rsid w:val="00F474FC"/>
    <w:rsid w:val="00F4786D"/>
    <w:rsid w:val="00F47B6F"/>
    <w:rsid w:val="00F47C25"/>
    <w:rsid w:val="00F519FA"/>
    <w:rsid w:val="00F52420"/>
    <w:rsid w:val="00F52B92"/>
    <w:rsid w:val="00F53E7C"/>
    <w:rsid w:val="00F53FB7"/>
    <w:rsid w:val="00F54433"/>
    <w:rsid w:val="00F54862"/>
    <w:rsid w:val="00F548F2"/>
    <w:rsid w:val="00F55221"/>
    <w:rsid w:val="00F556DB"/>
    <w:rsid w:val="00F55C0A"/>
    <w:rsid w:val="00F560EA"/>
    <w:rsid w:val="00F56B6B"/>
    <w:rsid w:val="00F57579"/>
    <w:rsid w:val="00F57A45"/>
    <w:rsid w:val="00F6031E"/>
    <w:rsid w:val="00F608E5"/>
    <w:rsid w:val="00F60D60"/>
    <w:rsid w:val="00F6126B"/>
    <w:rsid w:val="00F61BAA"/>
    <w:rsid w:val="00F628B5"/>
    <w:rsid w:val="00F62B81"/>
    <w:rsid w:val="00F630B4"/>
    <w:rsid w:val="00F6376A"/>
    <w:rsid w:val="00F63C30"/>
    <w:rsid w:val="00F64593"/>
    <w:rsid w:val="00F65419"/>
    <w:rsid w:val="00F65702"/>
    <w:rsid w:val="00F6574B"/>
    <w:rsid w:val="00F65D71"/>
    <w:rsid w:val="00F66088"/>
    <w:rsid w:val="00F666F6"/>
    <w:rsid w:val="00F66A14"/>
    <w:rsid w:val="00F67C5B"/>
    <w:rsid w:val="00F70080"/>
    <w:rsid w:val="00F70455"/>
    <w:rsid w:val="00F70C0F"/>
    <w:rsid w:val="00F70DD8"/>
    <w:rsid w:val="00F714F8"/>
    <w:rsid w:val="00F733C1"/>
    <w:rsid w:val="00F74ED5"/>
    <w:rsid w:val="00F7693C"/>
    <w:rsid w:val="00F777C8"/>
    <w:rsid w:val="00F8001E"/>
    <w:rsid w:val="00F800DB"/>
    <w:rsid w:val="00F81221"/>
    <w:rsid w:val="00F81676"/>
    <w:rsid w:val="00F824D4"/>
    <w:rsid w:val="00F829F6"/>
    <w:rsid w:val="00F82E18"/>
    <w:rsid w:val="00F833D8"/>
    <w:rsid w:val="00F8370A"/>
    <w:rsid w:val="00F8371E"/>
    <w:rsid w:val="00F838B3"/>
    <w:rsid w:val="00F83C69"/>
    <w:rsid w:val="00F84DBB"/>
    <w:rsid w:val="00F864A1"/>
    <w:rsid w:val="00F86695"/>
    <w:rsid w:val="00F877FB"/>
    <w:rsid w:val="00F9264E"/>
    <w:rsid w:val="00F95099"/>
    <w:rsid w:val="00F953A1"/>
    <w:rsid w:val="00F9554D"/>
    <w:rsid w:val="00F95CFB"/>
    <w:rsid w:val="00F961DA"/>
    <w:rsid w:val="00F9631B"/>
    <w:rsid w:val="00F96B0E"/>
    <w:rsid w:val="00F96E4B"/>
    <w:rsid w:val="00F97102"/>
    <w:rsid w:val="00F97156"/>
    <w:rsid w:val="00F97466"/>
    <w:rsid w:val="00F975C5"/>
    <w:rsid w:val="00FA050C"/>
    <w:rsid w:val="00FA0A4B"/>
    <w:rsid w:val="00FA1976"/>
    <w:rsid w:val="00FA204A"/>
    <w:rsid w:val="00FA22A9"/>
    <w:rsid w:val="00FA2DB1"/>
    <w:rsid w:val="00FA2DC2"/>
    <w:rsid w:val="00FA44CA"/>
    <w:rsid w:val="00FA5A3E"/>
    <w:rsid w:val="00FA5D47"/>
    <w:rsid w:val="00FA68C6"/>
    <w:rsid w:val="00FA6FA6"/>
    <w:rsid w:val="00FA70E8"/>
    <w:rsid w:val="00FA7654"/>
    <w:rsid w:val="00FA7662"/>
    <w:rsid w:val="00FB01E8"/>
    <w:rsid w:val="00FB07ED"/>
    <w:rsid w:val="00FB09A4"/>
    <w:rsid w:val="00FB0D33"/>
    <w:rsid w:val="00FB1039"/>
    <w:rsid w:val="00FB1F2D"/>
    <w:rsid w:val="00FB2560"/>
    <w:rsid w:val="00FB318F"/>
    <w:rsid w:val="00FB3A08"/>
    <w:rsid w:val="00FB3B1C"/>
    <w:rsid w:val="00FB3B90"/>
    <w:rsid w:val="00FB4AFC"/>
    <w:rsid w:val="00FB5E50"/>
    <w:rsid w:val="00FB6310"/>
    <w:rsid w:val="00FB7247"/>
    <w:rsid w:val="00FB72B1"/>
    <w:rsid w:val="00FB772C"/>
    <w:rsid w:val="00FB77A7"/>
    <w:rsid w:val="00FC0318"/>
    <w:rsid w:val="00FC0F29"/>
    <w:rsid w:val="00FC1231"/>
    <w:rsid w:val="00FC2ADA"/>
    <w:rsid w:val="00FC2FA7"/>
    <w:rsid w:val="00FC3BEB"/>
    <w:rsid w:val="00FC49E5"/>
    <w:rsid w:val="00FC5EC0"/>
    <w:rsid w:val="00FC66A0"/>
    <w:rsid w:val="00FC6B89"/>
    <w:rsid w:val="00FC6C1F"/>
    <w:rsid w:val="00FC783B"/>
    <w:rsid w:val="00FC799C"/>
    <w:rsid w:val="00FC7DF8"/>
    <w:rsid w:val="00FD058E"/>
    <w:rsid w:val="00FD0661"/>
    <w:rsid w:val="00FD1E54"/>
    <w:rsid w:val="00FD20BF"/>
    <w:rsid w:val="00FD2224"/>
    <w:rsid w:val="00FD349B"/>
    <w:rsid w:val="00FD37E3"/>
    <w:rsid w:val="00FD3CD4"/>
    <w:rsid w:val="00FD3E3E"/>
    <w:rsid w:val="00FD40B4"/>
    <w:rsid w:val="00FD4AD4"/>
    <w:rsid w:val="00FD4C76"/>
    <w:rsid w:val="00FD5768"/>
    <w:rsid w:val="00FD5812"/>
    <w:rsid w:val="00FD5F37"/>
    <w:rsid w:val="00FD65B3"/>
    <w:rsid w:val="00FD68F6"/>
    <w:rsid w:val="00FD6981"/>
    <w:rsid w:val="00FD70A9"/>
    <w:rsid w:val="00FD71D3"/>
    <w:rsid w:val="00FE020F"/>
    <w:rsid w:val="00FE03BE"/>
    <w:rsid w:val="00FE114A"/>
    <w:rsid w:val="00FE118B"/>
    <w:rsid w:val="00FE2571"/>
    <w:rsid w:val="00FE2701"/>
    <w:rsid w:val="00FE2B3A"/>
    <w:rsid w:val="00FE3CE5"/>
    <w:rsid w:val="00FE44EF"/>
    <w:rsid w:val="00FE4D5C"/>
    <w:rsid w:val="00FE509A"/>
    <w:rsid w:val="00FE6205"/>
    <w:rsid w:val="00FE6B62"/>
    <w:rsid w:val="00FE6BF8"/>
    <w:rsid w:val="00FE6C0E"/>
    <w:rsid w:val="00FE7318"/>
    <w:rsid w:val="00FE77A6"/>
    <w:rsid w:val="00FE78A4"/>
    <w:rsid w:val="00FF071D"/>
    <w:rsid w:val="00FF0874"/>
    <w:rsid w:val="00FF09C2"/>
    <w:rsid w:val="00FF0ACF"/>
    <w:rsid w:val="00FF172F"/>
    <w:rsid w:val="00FF289D"/>
    <w:rsid w:val="00FF302A"/>
    <w:rsid w:val="00FF33C7"/>
    <w:rsid w:val="00FF4167"/>
    <w:rsid w:val="00FF4F23"/>
    <w:rsid w:val="00FF5008"/>
    <w:rsid w:val="00FF580E"/>
    <w:rsid w:val="00FF5E56"/>
    <w:rsid w:val="00FF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D7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Jarlstrom, Laurie</dc:creator>
  <cp:keywords/>
  <dc:description/>
  <cp:lastModifiedBy>Jarlstrom, Laurie</cp:lastModifiedBy>
  <cp:revision>3</cp:revision>
  <dcterms:created xsi:type="dcterms:W3CDTF">2011-06-02T23:34:00Z</dcterms:created>
  <dcterms:modified xsi:type="dcterms:W3CDTF">2011-10-04T22:44:00Z</dcterms:modified>
</cp:coreProperties>
</file>