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480" w:after="240"/>
        <w:rPr/>
      </w:pPr>
      <w:r>
        <w:rPr/>
        <w:t>UEFI Forum Engineering Change Request (ECR)</w:t>
      </w:r>
      <w:bookmarkStart w:id="0" w:name="gjdgxs"/>
      <w:bookmarkEnd w:id="0"/>
    </w:p>
    <w:p>
      <w:pPr>
        <w:pStyle w:val="Heading1"/>
        <w:rPr/>
      </w:pPr>
      <w:r>
        <w:rPr/>
        <w:t>Title:</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 xml:space="preserve">Add RISC-V INTC APIC Structures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MADT</w:t>
      </w:r>
      <w:bookmarkStart w:id="1" w:name="30j0zll"/>
      <w:bookmarkEnd w:id="1"/>
    </w:p>
    <w:p>
      <w:pPr>
        <w:pStyle w:val="Heading1"/>
        <w:rPr/>
      </w:pPr>
      <w:r>
        <w:rPr/>
        <w:t>Status:</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Draft</w:t>
      </w:r>
      <w:bookmarkStart w:id="2" w:name="1fob9te"/>
      <w:bookmarkEnd w:id="2"/>
    </w:p>
    <w:p>
      <w:pPr>
        <w:pStyle w:val="Heading1"/>
        <w:rPr/>
      </w:pPr>
      <w:r>
        <w:rPr/>
        <w:t>Document:</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ACPI Specification 6.</w:t>
      </w:r>
      <w:r>
        <w:rPr/>
        <w:t>5</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.next</w:t>
      </w:r>
      <w:bookmarkStart w:id="3" w:name="3znysh7"/>
      <w:bookmarkEnd w:id="3"/>
    </w:p>
    <w:p>
      <w:pPr>
        <w:pStyle w:val="Heading1"/>
        <w:rPr/>
      </w:pPr>
      <w:r>
        <w:rPr/>
        <w:t>License</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SPDX-License-Identifier: CC-BY-4.0</w:t>
      </w:r>
      <w:bookmarkStart w:id="4" w:name="2et92p0"/>
      <w:bookmarkEnd w:id="4"/>
    </w:p>
    <w:p>
      <w:pPr>
        <w:pStyle w:val="Heading1"/>
        <w:rPr/>
      </w:pPr>
      <w:r>
        <w:rPr/>
        <w:t>Submitter:</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Sunil V L, Ventana Micro Systems Inc.</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RISC-V Platform HSC (</w:t>
      </w:r>
      <w:hyperlink r:id="rId2">
        <w:r>
          <w:rPr>
            <w:rFonts w:eastAsia="Cambria" w:cs="Cambria"/>
            <w:b w:val="false"/>
            <w:i w:val="false"/>
            <w:caps w:val="false"/>
            <w:smallCaps w:val="false"/>
            <w:strike w:val="false"/>
            <w:dstrike w:val="false"/>
            <w:color w:val="4F81BD"/>
            <w:position w:val="0"/>
            <w:sz w:val="24"/>
            <w:sz w:val="24"/>
            <w:szCs w:val="24"/>
            <w:u w:val="none"/>
            <w:shd w:fill="auto" w:val="clear"/>
            <w:vertAlign w:val="baseline"/>
          </w:rPr>
          <w:t>https://lists.riscv.org/g/tech-unixplatformspec</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bookmarkStart w:id="5" w:name="tyjcwt"/>
      <w:bookmarkEnd w:id="5"/>
    </w:p>
    <w:p>
      <w:pPr>
        <w:pStyle w:val="Heading1"/>
        <w:rPr/>
      </w:pPr>
      <w:r>
        <w:rPr/>
        <w:t>Summary of the change</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ECR introduces </w:t>
      </w:r>
      <w:r>
        <w:rPr/>
        <w:t xml:space="preserve">APIC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structures for the RISC-V </w:t>
      </w:r>
      <w:r>
        <w:rPr/>
        <w:t xml:space="preserve">INTC Interrupt Controllers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in the MADT</w:t>
      </w:r>
      <w:r>
        <w:rPr/>
        <w:t>.</w:t>
      </w:r>
      <w:bookmarkStart w:id="6" w:name="3dy6vkm"/>
      <w:bookmarkEnd w:id="6"/>
    </w:p>
    <w:p>
      <w:pPr>
        <w:pStyle w:val="Heading1"/>
        <w:rPr/>
      </w:pPr>
      <w:r>
        <w:rPr/>
        <w:t>Benefits of the Change</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This change enables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RISC-V platforms </w:t>
      </w:r>
      <w:r>
        <w:rPr/>
        <w:t>to</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boot with ACPI </w:t>
      </w:r>
      <w:r>
        <w:rPr/>
        <w:t>support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bookmarkStart w:id="7" w:name="1t3h5sf"/>
      <w:bookmarkEnd w:id="7"/>
    </w:p>
    <w:p>
      <w:pPr>
        <w:pStyle w:val="Heading1"/>
        <w:rPr/>
      </w:pPr>
      <w:r>
        <w:rPr/>
        <w:t>Impact of Change</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change will impact RISC-V firmware, different Operating Systems </w:t>
      </w:r>
      <w:r>
        <w:rPr/>
        <w:t xml:space="preserve">for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RISC-V architecture and also emulation platforms.</w:t>
      </w:r>
      <w:bookmarkStart w:id="8" w:name="4d34og8"/>
      <w:bookmarkEnd w:id="8"/>
    </w:p>
    <w:p>
      <w:pPr>
        <w:pStyle w:val="Heading1"/>
        <w:rPr/>
      </w:pPr>
      <w:r>
        <w:rPr/>
        <w:t>Detailed Description of the Change</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Changes in </w:t>
      </w:r>
      <w:r>
        <w:rPr>
          <w:rFonts w:eastAsia="Cambria" w:cs="Cambria"/>
          <w:b/>
          <w:i w:val="false"/>
          <w:caps w:val="false"/>
          <w:smallCaps w:val="false"/>
          <w:strike w:val="false"/>
          <w:dstrike w:val="false"/>
          <w:color w:val="000000"/>
          <w:position w:val="0"/>
          <w:sz w:val="24"/>
          <w:sz w:val="24"/>
          <w:szCs w:val="24"/>
          <w:highlight w:val="yellow"/>
          <w:u w:val="none"/>
          <w:vertAlign w:val="baseline"/>
        </w:rPr>
        <w:t>yellow</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highlight w:val="green"/>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Insertions in </w:t>
      </w:r>
      <w:r>
        <w:rPr>
          <w:rFonts w:eastAsia="Cambria" w:cs="Cambria"/>
          <w:b/>
          <w:i w:val="false"/>
          <w:caps w:val="false"/>
          <w:smallCaps w:val="false"/>
          <w:strike w:val="false"/>
          <w:dstrike w:val="false"/>
          <w:color w:val="000000"/>
          <w:position w:val="0"/>
          <w:sz w:val="24"/>
          <w:sz w:val="24"/>
          <w:szCs w:val="24"/>
          <w:highlight w:val="green"/>
          <w:u w:val="none"/>
          <w:vertAlign w:val="baseline"/>
        </w:rPr>
        <w:t>green</w:t>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Removals in </w:t>
      </w:r>
      <w:r>
        <w:rPr>
          <w:rFonts w:eastAsia="Cambria" w:cs="Cambria"/>
          <w:b/>
          <w:i w:val="false"/>
          <w:caps w:val="false"/>
          <w:smallCaps w:val="false"/>
          <w:strike/>
          <w:color w:val="000000"/>
          <w:position w:val="0"/>
          <w:sz w:val="24"/>
          <w:sz w:val="24"/>
          <w:szCs w:val="24"/>
          <w:highlight w:val="red"/>
          <w:u w:val="none"/>
          <w:vertAlign w:val="baseline"/>
        </w:rPr>
        <w:t>red</w:t>
      </w:r>
    </w:p>
    <w:p>
      <w:pPr>
        <w:pStyle w:val="Normal1"/>
        <w:keepNext w:val="false"/>
        <w:keepLines w:val="false"/>
        <w:pageBreakBefore w:val="false"/>
        <w:widowControl/>
        <w:pBdr/>
        <w:shd w:val="clear" w:fill="auto"/>
        <w:spacing w:lineRule="auto" w:line="240" w:before="180" w:after="180"/>
        <w:ind w:left="0" w:right="0" w:hanging="0"/>
        <w:jc w:val="left"/>
        <w:rPr/>
      </w:pPr>
      <w:r>
        <w:rPr/>
      </w:r>
    </w:p>
    <w:p>
      <w:pPr>
        <w:pStyle w:val="Normal1"/>
        <w:keepNext w:val="false"/>
        <w:keepLines w:val="false"/>
        <w:pageBreakBefore w:val="false"/>
        <w:widowControl/>
        <w:pBdr/>
        <w:shd w:val="clear" w:fill="auto"/>
        <w:spacing w:lineRule="auto" w:line="24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Table 5-21 </w:t>
      </w:r>
      <w:r>
        <w:rPr>
          <w:rFonts w:eastAsia="Cambria" w:cs="Cambria"/>
          <w:b/>
          <w:i w:val="false"/>
          <w:caps w:val="false"/>
          <w:smallCaps w:val="false"/>
          <w:strike w:val="false"/>
          <w:dstrike w:val="false"/>
          <w:color w:val="000000"/>
          <w:position w:val="0"/>
          <w:sz w:val="24"/>
          <w:sz w:val="24"/>
          <w:szCs w:val="24"/>
          <w:u w:val="none"/>
          <w:shd w:fill="auto" w:val="clear"/>
          <w:vertAlign w:val="baseline"/>
        </w:rPr>
        <w:t>Interrupt Controller Structure Types</w:t>
      </w:r>
    </w:p>
    <w:tbl>
      <w:tblPr>
        <w:tblStyle w:val="Table1"/>
        <w:tblW w:w="9360" w:type="dxa"/>
        <w:jc w:val="left"/>
        <w:tblInd w:w="0" w:type="dxa"/>
        <w:tblCellMar>
          <w:top w:w="0" w:type="dxa"/>
          <w:left w:w="108" w:type="dxa"/>
          <w:bottom w:w="0" w:type="dxa"/>
          <w:right w:w="108" w:type="dxa"/>
        </w:tblCellMar>
        <w:tblLook w:val="0000"/>
      </w:tblPr>
      <w:tblGrid>
        <w:gridCol w:w="1336"/>
        <w:gridCol w:w="4013"/>
        <w:gridCol w:w="1335"/>
        <w:gridCol w:w="1339"/>
        <w:gridCol w:w="1337"/>
      </w:tblGrid>
      <w:tr>
        <w:trPr/>
        <w:tc>
          <w:tcPr>
            <w:tcW w:w="1336" w:type="dxa"/>
            <w:tcBorders>
              <w:top w:val="single" w:sz="8" w:space="0" w:color="000000"/>
              <w:left w:val="single" w:sz="8" w:space="0" w:color="000000"/>
              <w:bottom w:val="single" w:sz="8" w:space="0" w:color="000000"/>
              <w:right w:val="single" w:sz="8" w:space="0" w:color="000000"/>
            </w:tcBorders>
            <w:vAlign w:val="bottom"/>
          </w:tcPr>
          <w:p>
            <w:pPr>
              <w:pStyle w:val="Normal1"/>
              <w:keepNext w:val="false"/>
              <w:keepLines w:val="false"/>
              <w:widowControl/>
              <w:pBdr/>
              <w:shd w:val="clear" w:fill="auto"/>
              <w:spacing w:lineRule="auto" w:line="240" w:before="36" w:after="36"/>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Value</w:t>
            </w:r>
          </w:p>
        </w:tc>
        <w:tc>
          <w:tcPr>
            <w:tcW w:w="4013" w:type="dxa"/>
            <w:tcBorders>
              <w:top w:val="single" w:sz="8" w:space="0" w:color="000000"/>
              <w:left w:val="single" w:sz="8" w:space="0" w:color="000000"/>
              <w:bottom w:val="single" w:sz="8" w:space="0" w:color="000000"/>
              <w:right w:val="single" w:sz="8" w:space="0" w:color="000000"/>
            </w:tcBorders>
            <w:vAlign w:val="bottom"/>
          </w:tcPr>
          <w:p>
            <w:pPr>
              <w:pStyle w:val="Normal1"/>
              <w:keepNext w:val="false"/>
              <w:keepLines w:val="false"/>
              <w:widowControl/>
              <w:pBdr/>
              <w:shd w:val="clear" w:fill="auto"/>
              <w:spacing w:lineRule="auto" w:line="240" w:before="36" w:after="36"/>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Description</w:t>
            </w:r>
          </w:p>
        </w:tc>
        <w:tc>
          <w:tcPr>
            <w:tcW w:w="1335" w:type="dxa"/>
            <w:tcBorders>
              <w:top w:val="single" w:sz="8" w:space="0" w:color="000000"/>
              <w:left w:val="single" w:sz="8" w:space="0" w:color="000000"/>
              <w:bottom w:val="single" w:sz="8" w:space="0" w:color="000000"/>
              <w:right w:val="single" w:sz="8" w:space="0" w:color="000000"/>
            </w:tcBorders>
            <w:vAlign w:val="bottom"/>
          </w:tcPr>
          <w:p>
            <w:pPr>
              <w:pStyle w:val="Normal1"/>
              <w:keepNext w:val="false"/>
              <w:keepLines w:val="false"/>
              <w:widowControl/>
              <w:pBdr/>
              <w:shd w:val="clear" w:fill="auto"/>
              <w:spacing w:lineRule="auto" w:line="240" w:before="36" w:after="36"/>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_MAT for Processor object</w:t>
            </w:r>
          </w:p>
        </w:tc>
        <w:tc>
          <w:tcPr>
            <w:tcW w:w="1339" w:type="dxa"/>
            <w:tcBorders>
              <w:top w:val="single" w:sz="8" w:space="0" w:color="000000"/>
              <w:left w:val="single" w:sz="8" w:space="0" w:color="000000"/>
              <w:bottom w:val="single" w:sz="8" w:space="0" w:color="000000"/>
              <w:right w:val="single" w:sz="8" w:space="0" w:color="000000"/>
            </w:tcBorders>
            <w:vAlign w:val="bottom"/>
          </w:tcPr>
          <w:p>
            <w:pPr>
              <w:pStyle w:val="Normal1"/>
              <w:keepNext w:val="false"/>
              <w:keepLines w:val="false"/>
              <w:widowControl/>
              <w:pBdr/>
              <w:shd w:val="clear" w:fill="auto"/>
              <w:spacing w:lineRule="auto" w:line="240" w:before="36" w:after="36"/>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_MAT for an I/O APIC object</w:t>
            </w:r>
          </w:p>
        </w:tc>
        <w:tc>
          <w:tcPr>
            <w:tcW w:w="1337" w:type="dxa"/>
            <w:tcBorders>
              <w:top w:val="single" w:sz="8" w:space="0" w:color="000000"/>
              <w:left w:val="single" w:sz="8" w:space="0" w:color="000000"/>
              <w:bottom w:val="single" w:sz="8" w:space="0" w:color="000000"/>
              <w:right w:val="single" w:sz="8" w:space="0" w:color="000000"/>
            </w:tcBorders>
            <w:vAlign w:val="bottom"/>
          </w:tcPr>
          <w:p>
            <w:pPr>
              <w:pStyle w:val="Normal1"/>
              <w:keepNext w:val="false"/>
              <w:keepLines w:val="false"/>
              <w:widowControl/>
              <w:pBdr/>
              <w:shd w:val="clear" w:fill="auto"/>
              <w:spacing w:lineRule="auto" w:line="240" w:before="36" w:after="36"/>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Reference</w:t>
            </w:r>
          </w:p>
        </w:tc>
      </w:tr>
      <w:tr>
        <w:trPr/>
        <w:tc>
          <w:tcPr>
            <w:tcW w:w="1336"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0x16</w:t>
            </w:r>
          </w:p>
        </w:tc>
        <w:tc>
          <w:tcPr>
            <w:tcW w:w="4013"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Bridge I/O Programmable Interrupt Controller (BIO PIC)</w:t>
            </w:r>
          </w:p>
        </w:tc>
        <w:tc>
          <w:tcPr>
            <w:tcW w:w="133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no</w:t>
            </w:r>
          </w:p>
        </w:tc>
        <w:tc>
          <w:tcPr>
            <w:tcW w:w="1339"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no</w:t>
            </w:r>
          </w:p>
        </w:tc>
        <w:tc>
          <w:tcPr>
            <w:tcW w:w="1337"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Section 5.2.12.25</w:t>
            </w:r>
          </w:p>
        </w:tc>
      </w:tr>
      <w:tr>
        <w:trPr/>
        <w:tc>
          <w:tcPr>
            <w:tcW w:w="1336"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0x17</w:t>
            </w:r>
          </w:p>
        </w:tc>
        <w:tc>
          <w:tcPr>
            <w:tcW w:w="4013"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Low Pin Count Programmable Interrupt Controller (LPC PIC)</w:t>
            </w:r>
          </w:p>
        </w:tc>
        <w:tc>
          <w:tcPr>
            <w:tcW w:w="133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no</w:t>
            </w:r>
          </w:p>
        </w:tc>
        <w:tc>
          <w:tcPr>
            <w:tcW w:w="1339"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no</w:t>
            </w:r>
          </w:p>
        </w:tc>
        <w:tc>
          <w:tcPr>
            <w:tcW w:w="1337"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Section 5.2.12.26</w:t>
            </w:r>
          </w:p>
        </w:tc>
      </w:tr>
      <w:tr>
        <w:trPr/>
        <w:tc>
          <w:tcPr>
            <w:tcW w:w="1336"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0x18</w:t>
            </w:r>
          </w:p>
        </w:tc>
        <w:tc>
          <w:tcPr>
            <w:tcW w:w="4013"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RISC-V Hart Local Interrupt Controller (RINTC)</w:t>
            </w:r>
          </w:p>
        </w:tc>
        <w:tc>
          <w:tcPr>
            <w:tcW w:w="133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yes</w:t>
            </w:r>
          </w:p>
        </w:tc>
        <w:tc>
          <w:tcPr>
            <w:tcW w:w="1339"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no</w:t>
            </w:r>
          </w:p>
        </w:tc>
        <w:tc>
          <w:tcPr>
            <w:tcW w:w="1337"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Section 5.2.12.27</w:t>
            </w:r>
          </w:p>
        </w:tc>
      </w:tr>
      <w:tr>
        <w:trPr/>
        <w:tc>
          <w:tcPr>
            <w:tcW w:w="1336"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highlight w:val="yellow"/>
              </w:rPr>
              <w:t>0x19</w:t>
            </w:r>
            <w:r>
              <w:rPr/>
              <w:t>-0x7F</w:t>
            </w:r>
          </w:p>
        </w:tc>
        <w:tc>
          <w:tcPr>
            <w:tcW w:w="4013"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Reserved. OSPM skips structures of the reserved type.</w:t>
            </w:r>
          </w:p>
        </w:tc>
        <w:tc>
          <w:tcPr>
            <w:tcW w:w="133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no</w:t>
            </w:r>
          </w:p>
        </w:tc>
        <w:tc>
          <w:tcPr>
            <w:tcW w:w="1339"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no</w:t>
            </w:r>
          </w:p>
        </w:tc>
        <w:tc>
          <w:tcPr>
            <w:tcW w:w="1337" w:type="dxa"/>
            <w:tcBorders>
              <w:top w:val="single" w:sz="8" w:space="0" w:color="000000"/>
              <w:left w:val="single" w:sz="8" w:space="0" w:color="000000"/>
              <w:bottom w:val="single" w:sz="8" w:space="0" w:color="000000"/>
              <w:right w:val="single" w:sz="8" w:space="0" w:color="000000"/>
            </w:tcBorders>
          </w:tcPr>
          <w:p>
            <w:pPr>
              <w:pStyle w:val="Normal1"/>
              <w:widowControl/>
              <w:spacing w:lineRule="auto" w:line="240" w:before="0" w:after="200"/>
              <w:jc w:val="left"/>
              <w:rPr/>
            </w:pPr>
            <w:r>
              <w:rPr/>
            </w:r>
          </w:p>
        </w:tc>
      </w:tr>
      <w:tr>
        <w:trPr/>
        <w:tc>
          <w:tcPr>
            <w:tcW w:w="1336"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0x80-0xFF</w:t>
            </w:r>
          </w:p>
        </w:tc>
        <w:tc>
          <w:tcPr>
            <w:tcW w:w="4013"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Reserved for OEM use</w:t>
            </w:r>
          </w:p>
        </w:tc>
        <w:tc>
          <w:tcPr>
            <w:tcW w:w="1335"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no</w:t>
            </w:r>
          </w:p>
        </w:tc>
        <w:tc>
          <w:tcPr>
            <w:tcW w:w="1339" w:type="dxa"/>
            <w:tcBorders>
              <w:top w:val="single" w:sz="8" w:space="0" w:color="000000"/>
              <w:left w:val="single" w:sz="8" w:space="0" w:color="000000"/>
              <w:bottom w:val="single" w:sz="8" w:space="0" w:color="000000"/>
              <w:right w:val="single" w:sz="8" w:space="0" w:color="000000"/>
            </w:tcBorders>
          </w:tcPr>
          <w:p>
            <w:pPr>
              <w:pStyle w:val="Normal1"/>
              <w:spacing w:lineRule="auto" w:line="240" w:before="0" w:after="200"/>
              <w:jc w:val="left"/>
              <w:rPr/>
            </w:pPr>
            <w:r>
              <w:rPr/>
              <w:t>no</w:t>
            </w:r>
          </w:p>
        </w:tc>
        <w:tc>
          <w:tcPr>
            <w:tcW w:w="1337" w:type="dxa"/>
            <w:tcBorders>
              <w:top w:val="single" w:sz="8" w:space="0" w:color="000000"/>
              <w:left w:val="single" w:sz="8" w:space="0" w:color="000000"/>
              <w:bottom w:val="single" w:sz="8" w:space="0" w:color="000000"/>
              <w:right w:val="single" w:sz="8" w:space="0" w:color="000000"/>
            </w:tcBorders>
          </w:tcPr>
          <w:p>
            <w:pPr>
              <w:pStyle w:val="Normal1"/>
              <w:widowControl/>
              <w:spacing w:lineRule="auto" w:line="240" w:before="0" w:after="200"/>
              <w:jc w:val="left"/>
              <w:rPr/>
            </w:pPr>
            <w:r>
              <w:rPr/>
            </w:r>
          </w:p>
        </w:tc>
      </w:tr>
    </w:tbl>
    <w:p>
      <w:pPr>
        <w:pStyle w:val="Normal1"/>
        <w:spacing w:lineRule="auto" w:line="240" w:before="180" w:after="180"/>
        <w:rPr>
          <w:b/>
          <w:b/>
          <w:highlight w:val="green"/>
        </w:rPr>
      </w:pPr>
      <w:r>
        <w:rPr>
          <w:b/>
          <w:highlight w:val="green"/>
        </w:rPr>
      </w:r>
    </w:p>
    <w:p>
      <w:pPr>
        <w:pStyle w:val="Normal1"/>
        <w:spacing w:lineRule="auto" w:line="240" w:before="180" w:after="180"/>
        <w:rPr>
          <w:highlight w:val="green"/>
        </w:rPr>
      </w:pPr>
      <w:r>
        <w:rPr>
          <w:b/>
          <w:highlight w:val="green"/>
        </w:rPr>
        <w:t>5.2.12.27 RISC-V Interrupt Controller (RINTC) Structure</w:t>
      </w:r>
    </w:p>
    <w:p>
      <w:pPr>
        <w:pStyle w:val="Normal1"/>
        <w:spacing w:lineRule="auto" w:line="240" w:before="180" w:after="180"/>
        <w:rPr>
          <w:highlight w:val="green"/>
        </w:rPr>
      </w:pPr>
      <w:r>
        <w:rPr>
          <w:highlight w:val="green"/>
        </w:rPr>
        <w:t>The RISC-V platforms need to have a simple, per-hart (hardware thread or logical processor) interrupt controller available to supervisor mode.</w:t>
      </w:r>
    </w:p>
    <w:p>
      <w:pPr>
        <w:pStyle w:val="Normal1"/>
        <w:spacing w:lineRule="auto" w:line="240" w:before="180" w:after="180"/>
        <w:rPr>
          <w:highlight w:val="green"/>
        </w:rPr>
      </w:pPr>
      <w:r>
        <w:rPr>
          <w:highlight w:val="green"/>
        </w:rPr>
        <w:t>For RISC-V platforms, the “Local Interrupt Controller Address” field in the MADT must be ignored by the OSPM.</w:t>
      </w:r>
    </w:p>
    <w:p>
      <w:pPr>
        <w:pStyle w:val="Normal1"/>
        <w:spacing w:lineRule="auto" w:line="240" w:before="180" w:after="180"/>
        <w:jc w:val="both"/>
        <w:rPr>
          <w:highlight w:val="green"/>
        </w:rPr>
      </w:pPr>
      <w:r>
        <w:rPr>
          <w:highlight w:val="green"/>
        </w:rPr>
        <w:t>Table 5.53:</w:t>
      </w:r>
      <w:r>
        <w:rPr>
          <w:b/>
          <w:highlight w:val="green"/>
        </w:rPr>
        <w:t xml:space="preserve"> RISC-V Interrupt Controller(RINTC) Structure</w:t>
      </w:r>
    </w:p>
    <w:tbl>
      <w:tblPr>
        <w:tblStyle w:val="Table2"/>
        <w:tblW w:w="9265" w:type="dxa"/>
        <w:jc w:val="left"/>
        <w:tblInd w:w="0" w:type="dxa"/>
        <w:tblCellMar>
          <w:top w:w="0" w:type="dxa"/>
          <w:left w:w="108" w:type="dxa"/>
          <w:bottom w:w="0" w:type="dxa"/>
          <w:right w:w="108" w:type="dxa"/>
        </w:tblCellMar>
        <w:tblLook w:val="0000"/>
      </w:tblPr>
      <w:tblGrid>
        <w:gridCol w:w="3475"/>
        <w:gridCol w:w="1280"/>
        <w:gridCol w:w="1034"/>
        <w:gridCol w:w="3475"/>
      </w:tblGrid>
      <w:tr>
        <w:trPr/>
        <w:tc>
          <w:tcPr>
            <w:tcW w:w="347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before="36" w:after="36"/>
              <w:rPr>
                <w:b/>
                <w:b/>
                <w:highlight w:val="green"/>
              </w:rPr>
            </w:pPr>
            <w:r>
              <w:rPr>
                <w:b/>
                <w:highlight w:val="green"/>
              </w:rPr>
              <w:t>Field</w:t>
            </w:r>
          </w:p>
        </w:tc>
        <w:tc>
          <w:tcPr>
            <w:tcW w:w="128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before="36" w:after="36"/>
              <w:rPr>
                <w:b/>
                <w:b/>
                <w:highlight w:val="green"/>
              </w:rPr>
            </w:pPr>
            <w:r>
              <w:rPr>
                <w:b/>
                <w:highlight w:val="green"/>
              </w:rPr>
              <w:t>Byte Length</w:t>
            </w:r>
          </w:p>
        </w:tc>
        <w:tc>
          <w:tcPr>
            <w:tcW w:w="103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before="36" w:after="36"/>
              <w:rPr>
                <w:b/>
                <w:b/>
                <w:highlight w:val="green"/>
              </w:rPr>
            </w:pPr>
            <w:r>
              <w:rPr>
                <w:b/>
                <w:highlight w:val="green"/>
              </w:rPr>
              <w:t>Byte Offset</w:t>
            </w:r>
          </w:p>
        </w:tc>
        <w:tc>
          <w:tcPr>
            <w:tcW w:w="347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before="36" w:after="36"/>
              <w:rPr>
                <w:b/>
                <w:b/>
                <w:highlight w:val="green"/>
              </w:rPr>
            </w:pPr>
            <w:r>
              <w:rPr>
                <w:b/>
                <w:highlight w:val="green"/>
              </w:rPr>
              <w:t>Description</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Type</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1</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0</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0x18 RISC-V INTC structure</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Length</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1</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1</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20 - Length in bytes for this RINTC structure</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Version</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1</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2</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For this version of the specification, the revision is 1.</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Reserved</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1</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3</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Must be zero</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Flags</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4</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4</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See RISC-V INTC Flags</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Hart ID of the hart</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8</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8</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Hart ID (mhartid) of the hart this interrupt controller belongs to.</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ACPI Processor UID</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4</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16</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The OS associates this RINTC structure with a processor device object in the namespace when the _UID child object of the processor device evaluates to a numeric value that matches the numeric value in this field.</w:t>
            </w:r>
          </w:p>
        </w:tc>
      </w:tr>
    </w:tbl>
    <w:p>
      <w:pPr>
        <w:pStyle w:val="Normal1"/>
        <w:widowControl w:val="false"/>
        <w:spacing w:lineRule="auto" w:line="276" w:before="0" w:after="0"/>
        <w:rPr>
          <w:b/>
          <w:b/>
          <w:highlight w:val="green"/>
        </w:rPr>
      </w:pPr>
      <w:r>
        <w:rPr>
          <w:b/>
          <w:highlight w:val="green"/>
        </w:rPr>
      </w:r>
    </w:p>
    <w:p>
      <w:pPr>
        <w:pStyle w:val="Normal1"/>
        <w:spacing w:lineRule="auto" w:line="240" w:before="180" w:after="180"/>
        <w:jc w:val="both"/>
        <w:rPr>
          <w:highlight w:val="green"/>
        </w:rPr>
      </w:pPr>
      <w:r>
        <w:rPr>
          <w:highlight w:val="green"/>
        </w:rPr>
        <w:t xml:space="preserve">Table 5.54: </w:t>
      </w:r>
      <w:r>
        <w:rPr>
          <w:b/>
          <w:highlight w:val="green"/>
        </w:rPr>
        <w:t>RISC-V INTC Flags</w:t>
      </w:r>
    </w:p>
    <w:tbl>
      <w:tblPr>
        <w:tblStyle w:val="Table3"/>
        <w:tblW w:w="9265" w:type="dxa"/>
        <w:jc w:val="left"/>
        <w:tblInd w:w="0" w:type="dxa"/>
        <w:tblCellMar>
          <w:top w:w="0" w:type="dxa"/>
          <w:left w:w="108" w:type="dxa"/>
          <w:bottom w:w="0" w:type="dxa"/>
          <w:right w:w="108" w:type="dxa"/>
        </w:tblCellMar>
        <w:tblLook w:val="0000"/>
      </w:tblPr>
      <w:tblGrid>
        <w:gridCol w:w="3475"/>
        <w:gridCol w:w="1280"/>
        <w:gridCol w:w="1034"/>
        <w:gridCol w:w="3475"/>
      </w:tblGrid>
      <w:tr>
        <w:trPr/>
        <w:tc>
          <w:tcPr>
            <w:tcW w:w="347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before="36" w:after="36"/>
              <w:rPr>
                <w:b/>
                <w:b/>
                <w:highlight w:val="green"/>
              </w:rPr>
            </w:pPr>
            <w:r>
              <w:rPr>
                <w:b/>
                <w:highlight w:val="green"/>
              </w:rPr>
              <w:t>RINTC Flags</w:t>
            </w:r>
          </w:p>
        </w:tc>
        <w:tc>
          <w:tcPr>
            <w:tcW w:w="128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before="36" w:after="36"/>
              <w:rPr>
                <w:b/>
                <w:b/>
                <w:highlight w:val="green"/>
              </w:rPr>
            </w:pPr>
            <w:r>
              <w:rPr>
                <w:b/>
                <w:highlight w:val="green"/>
              </w:rPr>
              <w:t>Bit Length</w:t>
            </w:r>
          </w:p>
        </w:tc>
        <w:tc>
          <w:tcPr>
            <w:tcW w:w="103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before="36" w:after="36"/>
              <w:rPr>
                <w:b/>
                <w:b/>
                <w:highlight w:val="green"/>
              </w:rPr>
            </w:pPr>
            <w:r>
              <w:rPr>
                <w:b/>
                <w:highlight w:val="green"/>
              </w:rPr>
              <w:t>Bit Offset</w:t>
            </w:r>
          </w:p>
        </w:tc>
        <w:tc>
          <w:tcPr>
            <w:tcW w:w="347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before="36" w:after="36"/>
              <w:rPr>
                <w:b/>
                <w:b/>
                <w:highlight w:val="green"/>
              </w:rPr>
            </w:pPr>
            <w:r>
              <w:rPr>
                <w:b/>
                <w:highlight w:val="green"/>
              </w:rPr>
              <w:t>Description</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Enabled</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1</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0</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If this bit is set the processor is ready for use. If this bit is clear and the Online Capable bit is set, system hardware supports enabling this processor during OS runtime. If this bit is clear and the Online Capable bit is also clear, this processor is unusable, and OSPM shall ignore the contents of the RINTC structure.</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Online Capable</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1</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1</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The information conveyed by this bit depends on the value of the Enabled bit. If the Enabled bit is set, this bit is reserved and must be zero. Otherwise, if this bit is set, system hardware supports enabling this processor during OS runtime.</w:t>
            </w:r>
          </w:p>
        </w:tc>
      </w:tr>
      <w:tr>
        <w:trPr/>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 Reserved</w:t>
            </w:r>
          </w:p>
        </w:tc>
        <w:tc>
          <w:tcPr>
            <w:tcW w:w="1280"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30</w:t>
            </w:r>
          </w:p>
        </w:tc>
        <w:tc>
          <w:tcPr>
            <w:tcW w:w="1034"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2</w:t>
            </w:r>
          </w:p>
        </w:tc>
        <w:tc>
          <w:tcPr>
            <w:tcW w:w="3475" w:type="dxa"/>
            <w:tcBorders>
              <w:top w:val="single" w:sz="8" w:space="0" w:color="000000"/>
              <w:left w:val="single" w:sz="8" w:space="0" w:color="000000"/>
              <w:bottom w:val="single" w:sz="8" w:space="0" w:color="000000"/>
              <w:right w:val="single" w:sz="8" w:space="0" w:color="000000"/>
            </w:tcBorders>
          </w:tcPr>
          <w:p>
            <w:pPr>
              <w:pStyle w:val="Normal1"/>
              <w:spacing w:before="0" w:after="200"/>
              <w:rPr>
                <w:highlight w:val="green"/>
              </w:rPr>
            </w:pPr>
            <w:r>
              <w:rPr>
                <w:highlight w:val="green"/>
              </w:rPr>
              <w:t>Must be zero</w:t>
            </w:r>
          </w:p>
        </w:tc>
      </w:tr>
    </w:tbl>
    <w:p>
      <w:pPr>
        <w:pStyle w:val="Normal1"/>
        <w:widowControl w:val="false"/>
        <w:spacing w:lineRule="auto" w:line="276" w:before="0" w:after="0"/>
        <w:rPr>
          <w:highlight w:val="darkGreen"/>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40" w:before="0" w:after="200"/>
      <w:jc w:val="left"/>
    </w:pPr>
    <w:rPr>
      <w:rFonts w:ascii="Cambria" w:hAnsi="Cambria" w:eastAsia="Cambria" w:cs="Cambria"/>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0"/>
    </w:pPr>
    <w:rPr>
      <w:rFonts w:ascii="Calibri" w:hAnsi="Calibri" w:eastAsia="Calibri" w:cs="Calibri"/>
      <w:b/>
      <w:color w:val="335B8A"/>
      <w:sz w:val="32"/>
      <w:szCs w:val="32"/>
    </w:rPr>
  </w:style>
  <w:style w:type="paragraph" w:styleId="Heading2">
    <w:name w:val="Heading 2"/>
    <w:basedOn w:val="Normal1"/>
    <w:next w:val="Normal1"/>
    <w:qFormat/>
    <w:pPr>
      <w:keepNext w:val="true"/>
      <w:keepLines/>
      <w:spacing w:lineRule="auto" w:line="240" w:before="200" w:after="0"/>
    </w:pPr>
    <w:rPr>
      <w:rFonts w:ascii="Calibri" w:hAnsi="Calibri" w:eastAsia="Calibri" w:cs="Calibri"/>
      <w:b/>
      <w:color w:val="4F81BD"/>
      <w:sz w:val="32"/>
      <w:szCs w:val="32"/>
    </w:rPr>
  </w:style>
  <w:style w:type="paragraph" w:styleId="Heading3">
    <w:name w:val="Heading 3"/>
    <w:basedOn w:val="Normal1"/>
    <w:next w:val="Normal1"/>
    <w:qFormat/>
    <w:pPr>
      <w:keepNext w:val="true"/>
      <w:keepLines/>
      <w:spacing w:lineRule="auto" w:line="240" w:before="200" w:after="0"/>
    </w:pPr>
    <w:rPr>
      <w:rFonts w:ascii="Calibri" w:hAnsi="Calibri" w:eastAsia="Calibri" w:cs="Calibri"/>
      <w:b/>
      <w:color w:val="4F81BD"/>
      <w:sz w:val="28"/>
      <w:szCs w:val="28"/>
    </w:rPr>
  </w:style>
  <w:style w:type="paragraph" w:styleId="Heading4">
    <w:name w:val="Heading 4"/>
    <w:basedOn w:val="Normal1"/>
    <w:next w:val="Normal1"/>
    <w:qFormat/>
    <w:pPr>
      <w:keepNext w:val="true"/>
      <w:keepLines/>
      <w:spacing w:lineRule="auto" w:line="240" w:before="200" w:after="0"/>
    </w:pPr>
    <w:rPr>
      <w:rFonts w:ascii="Calibri" w:hAnsi="Calibri" w:eastAsia="Calibri" w:cs="Calibri"/>
      <w:b/>
      <w:color w:val="4F81BD"/>
      <w:sz w:val="24"/>
      <w:szCs w:val="24"/>
    </w:rPr>
  </w:style>
  <w:style w:type="paragraph" w:styleId="Heading5">
    <w:name w:val="Heading 5"/>
    <w:basedOn w:val="Normal1"/>
    <w:next w:val="Normal1"/>
    <w:qFormat/>
    <w:pPr>
      <w:keepNext w:val="true"/>
      <w:keepLines/>
      <w:spacing w:lineRule="auto" w:line="240" w:before="200" w:after="0"/>
    </w:pPr>
    <w:rPr>
      <w:rFonts w:ascii="Calibri" w:hAnsi="Calibri" w:eastAsia="Calibri" w:cs="Calibri"/>
      <w:i/>
      <w:color w:val="4F81BD"/>
      <w:sz w:val="24"/>
      <w:szCs w:val="24"/>
    </w:rPr>
  </w:style>
  <w:style w:type="paragraph" w:styleId="Heading6">
    <w:name w:val="Heading 6"/>
    <w:basedOn w:val="Normal1"/>
    <w:next w:val="Normal1"/>
    <w:qFormat/>
    <w:pPr>
      <w:keepNext w:val="true"/>
      <w:keepLines/>
      <w:spacing w:lineRule="auto" w:line="240" w:before="200" w:after="0"/>
    </w:pPr>
    <w:rPr>
      <w:rFonts w:ascii="Calibri" w:hAnsi="Calibri" w:eastAsia="Calibri" w:cs="Calibri"/>
      <w:color w:val="4F81BD"/>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40" w:before="0" w:after="20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Normal1"/>
    <w:next w:val="Normal1"/>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sts.riscv.org/g/tech-unixplatformspec"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4</Pages>
  <Words>471</Words>
  <Characters>2432</Characters>
  <CharactersWithSpaces>2800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2022-08-09T15:21:03Z</dcterms:modified>
  <cp:revision>1</cp:revision>
  <dc:subject/>
  <dc:title/>
</cp:coreProperties>
</file>