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2EE3A2CC" w14:textId="231096C8" w:rsidR="000578BB" w:rsidRPr="00A36053" w:rsidRDefault="00A36053" w:rsidP="00AA5084">
      <w:pPr>
        <w:pStyle w:val="PlainText"/>
        <w:rPr>
          <w:rFonts w:eastAsia="Times New Roman" w:cs="Arial"/>
          <w:bCs/>
          <w:iCs/>
          <w:szCs w:val="11"/>
        </w:rPr>
      </w:pPr>
      <w:r w:rsidRPr="00A36053">
        <w:rPr>
          <w:rFonts w:eastAsia="Times New Roman" w:cs="Arial"/>
          <w:bCs/>
          <w:iCs/>
          <w:szCs w:val="11"/>
        </w:rPr>
        <w:t xml:space="preserve">Add </w:t>
      </w:r>
      <w:r w:rsidR="004A37FE">
        <w:rPr>
          <w:rFonts w:eastAsia="Times New Roman" w:cs="Arial"/>
          <w:bCs/>
          <w:iCs/>
          <w:szCs w:val="11"/>
        </w:rPr>
        <w:t xml:space="preserve">MADT </w:t>
      </w:r>
      <w:r w:rsidRPr="00A36053">
        <w:rPr>
          <w:rFonts w:eastAsia="Times New Roman" w:cs="Arial"/>
          <w:bCs/>
          <w:iCs/>
          <w:szCs w:val="11"/>
        </w:rPr>
        <w:t>GIC Flags for non-coherent components.</w:t>
      </w:r>
    </w:p>
    <w:p w14:paraId="1EC7E50B" w14:textId="77777777" w:rsidR="00A36053" w:rsidRPr="00A36053" w:rsidRDefault="00A36053" w:rsidP="00AA5084">
      <w:pPr>
        <w:pStyle w:val="PlainText"/>
        <w:rPr>
          <w:sz w:val="16"/>
          <w:szCs w:val="15"/>
        </w:rPr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113C946E" w:rsidR="00AA5084" w:rsidRPr="00010647" w:rsidRDefault="00406A4F" w:rsidP="00010647">
      <w:pPr>
        <w:pStyle w:val="PlainText"/>
      </w:pPr>
      <w:r>
        <w:t>ACPI 6.</w:t>
      </w:r>
      <w:r w:rsidR="00B64753">
        <w:t>5</w:t>
      </w:r>
      <w:r>
        <w:t xml:space="preserve"> specification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65BD3186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</w:t>
      </w:r>
      <w:r w:rsidR="007E05EF">
        <w:rPr>
          <w:b/>
          <w:bCs/>
        </w:rPr>
        <w:t>s</w:t>
      </w:r>
      <w:r w:rsidRPr="00010647">
        <w:rPr>
          <w:b/>
          <w:bCs/>
        </w:rPr>
        <w:t>:</w:t>
      </w:r>
      <w:r w:rsidRPr="00010647">
        <w:t xml:space="preserve"> </w:t>
      </w:r>
    </w:p>
    <w:p w14:paraId="0BDB77AE" w14:textId="77777777" w:rsidR="009E058F" w:rsidRDefault="002429C1" w:rsidP="00B3554D">
      <w:pPr>
        <w:pStyle w:val="PlainText"/>
        <w:numPr>
          <w:ilvl w:val="0"/>
          <w:numId w:val="4"/>
        </w:numPr>
        <w:spacing w:line="360" w:lineRule="auto"/>
      </w:pPr>
      <w:r>
        <w:t>A</w:t>
      </w:r>
      <w:r w:rsidR="00A704DD">
        <w:t>rm Limited</w:t>
      </w:r>
    </w:p>
    <w:p w14:paraId="228D4892" w14:textId="1399BC5A" w:rsidR="00AA5084" w:rsidRPr="00010647" w:rsidRDefault="00AA5084" w:rsidP="00B3554D">
      <w:pPr>
        <w:pStyle w:val="PlainText"/>
        <w:numPr>
          <w:ilvl w:val="0"/>
          <w:numId w:val="4"/>
        </w:numPr>
        <w:spacing w:line="360" w:lineRule="auto"/>
      </w:pPr>
      <w:proofErr w:type="spellStart"/>
      <w:r w:rsidRPr="00010647">
        <w:t>TianoCore</w:t>
      </w:r>
      <w:proofErr w:type="spellEnd"/>
      <w:r w:rsidRPr="00010647">
        <w:t xml:space="preserve"> Community (</w:t>
      </w:r>
      <w:hyperlink r:id="rId7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2779C208" w14:textId="77777777" w:rsidR="00D02906" w:rsidRDefault="00D02906" w:rsidP="00D02906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7F680D">
        <w:rPr>
          <w:rFonts w:ascii="Times New Roman" w:hAnsi="Times New Roman"/>
        </w:rPr>
        <w:t>he GICv3</w:t>
      </w:r>
      <w:r>
        <w:rPr>
          <w:rFonts w:ascii="Times New Roman" w:hAnsi="Times New Roman"/>
        </w:rPr>
        <w:t>+</w:t>
      </w:r>
      <w:r w:rsidRPr="007F680D">
        <w:rPr>
          <w:rFonts w:ascii="Times New Roman" w:hAnsi="Times New Roman"/>
        </w:rPr>
        <w:t xml:space="preserve"> architecture specifications provide a means for the</w:t>
      </w:r>
      <w:r>
        <w:rPr>
          <w:rFonts w:ascii="Times New Roman" w:hAnsi="Times New Roman"/>
        </w:rPr>
        <w:t xml:space="preserve"> </w:t>
      </w:r>
      <w:r w:rsidRPr="007F680D">
        <w:rPr>
          <w:rFonts w:ascii="Times New Roman" w:hAnsi="Times New Roman"/>
        </w:rPr>
        <w:t>system programmer to set the</w:t>
      </w:r>
      <w:r>
        <w:rPr>
          <w:rFonts w:ascii="Times New Roman" w:hAnsi="Times New Roman"/>
        </w:rPr>
        <w:t xml:space="preserve"> </w:t>
      </w:r>
      <w:r w:rsidRPr="007F680D">
        <w:rPr>
          <w:rFonts w:ascii="Times New Roman" w:hAnsi="Times New Roman"/>
        </w:rPr>
        <w:t>shareability and cacheability</w:t>
      </w:r>
      <w:r>
        <w:rPr>
          <w:rFonts w:ascii="Times New Roman" w:hAnsi="Times New Roman"/>
        </w:rPr>
        <w:t xml:space="preserve"> </w:t>
      </w:r>
      <w:r w:rsidRPr="007F680D">
        <w:rPr>
          <w:rFonts w:ascii="Times New Roman" w:hAnsi="Times New Roman"/>
        </w:rPr>
        <w:t xml:space="preserve">attributes </w:t>
      </w:r>
      <w:r>
        <w:rPr>
          <w:rFonts w:ascii="Times New Roman" w:hAnsi="Times New Roman"/>
        </w:rPr>
        <w:t xml:space="preserve">that </w:t>
      </w:r>
      <w:r w:rsidRPr="007F680D">
        <w:rPr>
          <w:rFonts w:ascii="Times New Roman" w:hAnsi="Times New Roman"/>
        </w:rPr>
        <w:t>the GIC components (</w:t>
      </w:r>
      <w:r>
        <w:rPr>
          <w:rFonts w:ascii="Times New Roman" w:hAnsi="Times New Roman"/>
        </w:rPr>
        <w:t>R</w:t>
      </w:r>
      <w:r w:rsidRPr="007F680D">
        <w:rPr>
          <w:rFonts w:ascii="Times New Roman" w:hAnsi="Times New Roman"/>
        </w:rPr>
        <w:t xml:space="preserve">edistributors and </w:t>
      </w:r>
      <w:proofErr w:type="spellStart"/>
      <w:r w:rsidRPr="007F680D">
        <w:rPr>
          <w:rFonts w:ascii="Times New Roman" w:hAnsi="Times New Roman"/>
        </w:rPr>
        <w:t>ITSes</w:t>
      </w:r>
      <w:proofErr w:type="spellEnd"/>
      <w:r w:rsidRPr="007F680D">
        <w:rPr>
          <w:rFonts w:ascii="Times New Roman" w:hAnsi="Times New Roman"/>
        </w:rPr>
        <w:t>) use</w:t>
      </w:r>
      <w:r>
        <w:rPr>
          <w:rFonts w:ascii="Times New Roman" w:hAnsi="Times New Roman"/>
        </w:rPr>
        <w:t xml:space="preserve"> </w:t>
      </w:r>
      <w:r w:rsidRPr="007F680D">
        <w:rPr>
          <w:rFonts w:ascii="Times New Roman" w:hAnsi="Times New Roman"/>
        </w:rPr>
        <w:t>to drive memory transactions</w:t>
      </w:r>
      <w:r>
        <w:rPr>
          <w:rFonts w:ascii="Times New Roman" w:hAnsi="Times New Roman"/>
        </w:rPr>
        <w:t>. However, it is possible for the GIC R</w:t>
      </w:r>
      <w:r w:rsidRPr="006E3A8D">
        <w:rPr>
          <w:rFonts w:ascii="Times New Roman" w:hAnsi="Times New Roman"/>
        </w:rPr>
        <w:t xml:space="preserve">edistributors and </w:t>
      </w:r>
      <w:proofErr w:type="spellStart"/>
      <w:r w:rsidRPr="006E3A8D">
        <w:rPr>
          <w:rFonts w:ascii="Times New Roman" w:hAnsi="Times New Roman"/>
        </w:rPr>
        <w:t>ITS</w:t>
      </w:r>
      <w:r>
        <w:rPr>
          <w:rFonts w:ascii="Times New Roman" w:hAnsi="Times New Roman"/>
        </w:rPr>
        <w:t>e</w:t>
      </w:r>
      <w:r w:rsidRPr="006E3A8D">
        <w:rPr>
          <w:rFonts w:ascii="Times New Roman" w:hAnsi="Times New Roman"/>
        </w:rPr>
        <w:t>s</w:t>
      </w:r>
      <w:proofErr w:type="spellEnd"/>
      <w:r w:rsidRPr="006E3A8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</w:t>
      </w:r>
      <w:r w:rsidRPr="006E3A8D">
        <w:rPr>
          <w:rFonts w:ascii="Times New Roman" w:hAnsi="Times New Roman"/>
        </w:rPr>
        <w:t xml:space="preserve"> be wired up</w:t>
      </w:r>
      <w:r>
        <w:rPr>
          <w:rFonts w:ascii="Times New Roman" w:hAnsi="Times New Roman"/>
        </w:rPr>
        <w:t>,</w:t>
      </w:r>
      <w:r w:rsidRPr="006E3A8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or connected to non-coherent interconnects, such </w:t>
      </w:r>
      <w:r w:rsidRPr="006E3A8D">
        <w:rPr>
          <w:rFonts w:ascii="Times New Roman" w:hAnsi="Times New Roman"/>
        </w:rPr>
        <w:t>that the</w:t>
      </w:r>
      <w:r>
        <w:rPr>
          <w:rFonts w:ascii="Times New Roman" w:hAnsi="Times New Roman"/>
        </w:rPr>
        <w:t xml:space="preserve"> affected GIC components</w:t>
      </w:r>
      <w:r w:rsidRPr="006E3A8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become </w:t>
      </w:r>
      <w:r w:rsidRPr="006E3A8D">
        <w:rPr>
          <w:rFonts w:ascii="Times New Roman" w:hAnsi="Times New Roman"/>
        </w:rPr>
        <w:t>non-</w:t>
      </w:r>
      <w:r>
        <w:rPr>
          <w:rFonts w:ascii="Times New Roman" w:hAnsi="Times New Roman"/>
        </w:rPr>
        <w:t>c</w:t>
      </w:r>
      <w:r w:rsidRPr="006E3A8D">
        <w:rPr>
          <w:rFonts w:ascii="Times New Roman" w:hAnsi="Times New Roman"/>
        </w:rPr>
        <w:t>oherent.</w:t>
      </w:r>
      <w:r>
        <w:rPr>
          <w:rFonts w:ascii="Times New Roman" w:hAnsi="Times New Roman"/>
        </w:rPr>
        <w:t xml:space="preserve"> OSPM needs to detect this scenario, and use appropriate the Cache Maintenance Operations (CMOs) on the GIC Memory tables.</w:t>
      </w:r>
    </w:p>
    <w:p w14:paraId="051563D5" w14:textId="77777777" w:rsidR="00D02906" w:rsidRDefault="00D02906" w:rsidP="00D02906">
      <w:pPr>
        <w:spacing w:before="120"/>
        <w:rPr>
          <w:rFonts w:ascii="Times New Roman" w:hAnsi="Times New Roman"/>
        </w:rPr>
      </w:pPr>
      <w:r w:rsidRPr="00A028FD">
        <w:rPr>
          <w:rFonts w:ascii="Times New Roman" w:hAnsi="Times New Roman"/>
        </w:rPr>
        <w:t>To enable non-coherent GIC designs, introduce</w:t>
      </w:r>
      <w:r>
        <w:rPr>
          <w:rFonts w:ascii="Times New Roman" w:hAnsi="Times New Roman"/>
        </w:rPr>
        <w:t xml:space="preserve"> a new GIC CPU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/f, GICR and GIC ITS flag </w:t>
      </w:r>
      <w:r w:rsidRPr="00A028FD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>a</w:t>
      </w:r>
      <w:r w:rsidRPr="00A028FD">
        <w:rPr>
          <w:rFonts w:ascii="Times New Roman" w:hAnsi="Times New Roman"/>
        </w:rPr>
        <w:t xml:space="preserve">llow </w:t>
      </w:r>
      <w:r>
        <w:rPr>
          <w:rFonts w:ascii="Times New Roman" w:hAnsi="Times New Roman"/>
        </w:rPr>
        <w:t xml:space="preserve">the </w:t>
      </w:r>
      <w:r w:rsidRPr="00A028FD">
        <w:rPr>
          <w:rFonts w:ascii="Times New Roman" w:hAnsi="Times New Roman"/>
        </w:rPr>
        <w:t xml:space="preserve">firmware to describe </w:t>
      </w:r>
      <w:r>
        <w:rPr>
          <w:rFonts w:ascii="Times New Roman" w:hAnsi="Times New Roman"/>
        </w:rPr>
        <w:t>R</w:t>
      </w:r>
      <w:r w:rsidRPr="00A028FD">
        <w:rPr>
          <w:rFonts w:ascii="Times New Roman" w:hAnsi="Times New Roman"/>
        </w:rPr>
        <w:t>edistributors and</w:t>
      </w:r>
      <w:r>
        <w:rPr>
          <w:rFonts w:ascii="Times New Roman" w:hAnsi="Times New Roman"/>
        </w:rPr>
        <w:t xml:space="preserve"> </w:t>
      </w:r>
      <w:proofErr w:type="spellStart"/>
      <w:r w:rsidRPr="00A028FD">
        <w:rPr>
          <w:rFonts w:ascii="Times New Roman" w:hAnsi="Times New Roman"/>
        </w:rPr>
        <w:t>ITSes</w:t>
      </w:r>
      <w:proofErr w:type="spellEnd"/>
      <w:r w:rsidRPr="00A028FD">
        <w:rPr>
          <w:rFonts w:ascii="Times New Roman" w:hAnsi="Times New Roman"/>
        </w:rPr>
        <w:t xml:space="preserve"> as non-coherent observers</w:t>
      </w:r>
      <w:r>
        <w:rPr>
          <w:rFonts w:ascii="Times New Roman" w:hAnsi="Times New Roman"/>
        </w:rPr>
        <w:t>,</w:t>
      </w:r>
      <w:r w:rsidRPr="00A028FD">
        <w:rPr>
          <w:rFonts w:ascii="Times New Roman" w:hAnsi="Times New Roman"/>
        </w:rPr>
        <w:t xml:space="preserve"> and use th</w:t>
      </w:r>
      <w:r>
        <w:rPr>
          <w:rFonts w:ascii="Times New Roman" w:hAnsi="Times New Roman"/>
        </w:rPr>
        <w:t xml:space="preserve">is </w:t>
      </w:r>
      <w:r w:rsidRPr="00A028FD">
        <w:rPr>
          <w:rFonts w:ascii="Times New Roman" w:hAnsi="Times New Roman"/>
        </w:rPr>
        <w:t xml:space="preserve">property to force the shareability attributes to be programmed </w:t>
      </w:r>
      <w:r>
        <w:rPr>
          <w:rFonts w:ascii="Times New Roman" w:hAnsi="Times New Roman"/>
        </w:rPr>
        <w:t xml:space="preserve">by OSPM </w:t>
      </w:r>
      <w:r w:rsidRPr="00A028FD">
        <w:rPr>
          <w:rFonts w:ascii="Times New Roman" w:hAnsi="Times New Roman"/>
        </w:rPr>
        <w:t>into the</w:t>
      </w:r>
      <w:r>
        <w:rPr>
          <w:rFonts w:ascii="Times New Roman" w:hAnsi="Times New Roman"/>
        </w:rPr>
        <w:t xml:space="preserve"> R</w:t>
      </w:r>
      <w:r w:rsidRPr="00A028FD">
        <w:rPr>
          <w:rFonts w:ascii="Times New Roman" w:hAnsi="Times New Roman"/>
        </w:rPr>
        <w:t>edistributor and ITS registers</w:t>
      </w:r>
      <w:r>
        <w:rPr>
          <w:rFonts w:ascii="Times New Roman" w:hAnsi="Times New Roman"/>
        </w:rPr>
        <w:t xml:space="preserve"> as non-shareable.</w:t>
      </w:r>
    </w:p>
    <w:p w14:paraId="20A39B54" w14:textId="5CB23799" w:rsidR="00D02906" w:rsidRDefault="00D02906" w:rsidP="00D02906">
      <w:pPr>
        <w:spacing w:before="120"/>
        <w:rPr>
          <w:rFonts w:ascii="Times New Roman" w:hAnsi="Times New Roman"/>
        </w:rPr>
      </w:pPr>
      <w:r w:rsidRPr="005805EC">
        <w:rPr>
          <w:rFonts w:ascii="Times New Roman" w:hAnsi="Times New Roman"/>
          <w:b/>
          <w:bCs/>
        </w:rPr>
        <w:t>Note</w:t>
      </w:r>
      <w:r w:rsidRPr="005805EC">
        <w:rPr>
          <w:rFonts w:ascii="Times New Roman" w:hAnsi="Times New Roman"/>
        </w:rPr>
        <w:t xml:space="preserve">: We are not allowing different redistributors to have different coherency attributes, since we do not think that is a sensible configuration. However, there </w:t>
      </w:r>
      <w:r>
        <w:rPr>
          <w:rFonts w:ascii="Times New Roman" w:hAnsi="Times New Roman"/>
        </w:rPr>
        <w:t xml:space="preserve">is </w:t>
      </w:r>
      <w:r w:rsidRPr="005805EC">
        <w:rPr>
          <w:rFonts w:ascii="Times New Roman" w:hAnsi="Times New Roman"/>
        </w:rPr>
        <w:t>no similar restriction on ITSs.</w:t>
      </w:r>
    </w:p>
    <w:p w14:paraId="43427A45" w14:textId="77777777" w:rsidR="009E058F" w:rsidRPr="009E058F" w:rsidRDefault="009E058F" w:rsidP="00AA5084">
      <w:pPr>
        <w:pStyle w:val="PlainText"/>
        <w:rPr>
          <w:b/>
          <w:bCs/>
          <w:sz w:val="11"/>
          <w:szCs w:val="10"/>
        </w:rPr>
      </w:pPr>
    </w:p>
    <w:p w14:paraId="33B06EBD" w14:textId="639416FB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7BB0936E" w14:textId="22532CC8" w:rsidR="00EB0B82" w:rsidRPr="00EB0B82" w:rsidRDefault="00842E3B" w:rsidP="00561F33">
      <w:pPr>
        <w:pStyle w:val="PlainText"/>
      </w:pPr>
      <w:r>
        <w:t>Adds support for systems which have non-coherent GICR and GIC-ITS.</w:t>
      </w:r>
    </w:p>
    <w:p w14:paraId="3C2FA830" w14:textId="77777777" w:rsidR="000E72ED" w:rsidRPr="009E058F" w:rsidRDefault="000E72ED" w:rsidP="00AA5084">
      <w:pPr>
        <w:pStyle w:val="PlainText"/>
        <w:rPr>
          <w:sz w:val="13"/>
          <w:szCs w:val="11"/>
        </w:rPr>
      </w:pPr>
    </w:p>
    <w:p w14:paraId="3748E8EE" w14:textId="401F8F6D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55780A49" w14:textId="77777777" w:rsidR="00ED24D1" w:rsidRPr="00ED24D1" w:rsidRDefault="00ED24D1" w:rsidP="00ED24D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ED24D1">
        <w:rPr>
          <w:rFonts w:asciiTheme="minorHAnsi" w:hAnsiTheme="minorHAnsi" w:cstheme="minorHAnsi"/>
        </w:rPr>
        <w:t xml:space="preserve">There is no impact to existing systems, or systems where the GIC components are coherent. </w:t>
      </w:r>
    </w:p>
    <w:p w14:paraId="792F653D" w14:textId="56FA9904" w:rsidR="00ED24D1" w:rsidRDefault="00ED24D1" w:rsidP="00ED24D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ED24D1">
        <w:rPr>
          <w:rFonts w:asciiTheme="minorHAnsi" w:hAnsiTheme="minorHAnsi" w:cstheme="minorHAnsi"/>
        </w:rPr>
        <w:t xml:space="preserve">Systems where GICR or GIC ITS is non-coherent will need to upgrade to this version </w:t>
      </w:r>
      <w:r w:rsidR="002D77D7">
        <w:rPr>
          <w:rFonts w:asciiTheme="minorHAnsi" w:hAnsiTheme="minorHAnsi" w:cstheme="minorHAnsi"/>
        </w:rPr>
        <w:t xml:space="preserve">7 </w:t>
      </w:r>
      <w:r w:rsidRPr="00ED24D1">
        <w:rPr>
          <w:rFonts w:asciiTheme="minorHAnsi" w:hAnsiTheme="minorHAnsi" w:cstheme="minorHAnsi"/>
        </w:rPr>
        <w:t>of MADT for OSPM to work correctly.</w:t>
      </w:r>
    </w:p>
    <w:p w14:paraId="19E6588F" w14:textId="77777777" w:rsidR="006F19AE" w:rsidRDefault="006F19AE" w:rsidP="006F19AE">
      <w:pPr>
        <w:rPr>
          <w:rFonts w:cstheme="minorHAnsi"/>
        </w:rPr>
      </w:pPr>
    </w:p>
    <w:p w14:paraId="3E1DEB46" w14:textId="77777777" w:rsidR="006F19AE" w:rsidRDefault="006F19AE" w:rsidP="006F19AE">
      <w:pPr>
        <w:rPr>
          <w:rFonts w:cstheme="minorHAnsi"/>
        </w:rPr>
      </w:pPr>
    </w:p>
    <w:p w14:paraId="176A69EB" w14:textId="77777777" w:rsidR="006F19AE" w:rsidRDefault="006F19AE" w:rsidP="006F19AE">
      <w:pPr>
        <w:rPr>
          <w:rFonts w:cstheme="minorHAnsi"/>
        </w:rPr>
      </w:pPr>
    </w:p>
    <w:p w14:paraId="62937BCB" w14:textId="77777777" w:rsidR="006F19AE" w:rsidRDefault="006F19AE" w:rsidP="006F19AE">
      <w:pPr>
        <w:rPr>
          <w:rFonts w:cstheme="minorHAnsi"/>
        </w:rPr>
      </w:pPr>
    </w:p>
    <w:p w14:paraId="76294854" w14:textId="77777777" w:rsidR="006F19AE" w:rsidRPr="006F19AE" w:rsidRDefault="006F19AE" w:rsidP="006F19AE">
      <w:pPr>
        <w:rPr>
          <w:rFonts w:cstheme="minorHAnsi"/>
        </w:rPr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lastRenderedPageBreak/>
        <w:t># Detailed description of the change [normative updates]</w:t>
      </w:r>
    </w:p>
    <w:p w14:paraId="26A94169" w14:textId="7FA698E0" w:rsidR="00EC7438" w:rsidRPr="00D76251" w:rsidRDefault="00AA5084" w:rsidP="00D76251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967A76">
        <w:rPr>
          <w:rFonts w:cs="Helvetica"/>
          <w:bCs/>
          <w:color w:val="00B050"/>
          <w:sz w:val="20"/>
          <w:szCs w:val="20"/>
        </w:rPr>
        <w:t>green</w:t>
      </w:r>
    </w:p>
    <w:p w14:paraId="1F6819A7" w14:textId="080A9014" w:rsidR="00010647" w:rsidRPr="007D7170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66712573" w14:textId="05585BC5" w:rsidR="007D7170" w:rsidRPr="007D7170" w:rsidRDefault="007D7170" w:rsidP="007D7170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>
        <w:rPr>
          <w:rFonts w:cs="Helvetica"/>
          <w:bCs/>
          <w:sz w:val="20"/>
          <w:szCs w:val="20"/>
        </w:rPr>
        <w:t>Cross-r</w:t>
      </w:r>
      <w:r w:rsidRPr="00A17312">
        <w:rPr>
          <w:rFonts w:cs="Helvetica"/>
          <w:bCs/>
          <w:sz w:val="20"/>
          <w:szCs w:val="20"/>
        </w:rPr>
        <w:t>eference</w:t>
      </w:r>
      <w:r>
        <w:rPr>
          <w:rFonts w:cs="Helvetica"/>
          <w:bCs/>
          <w:sz w:val="20"/>
          <w:szCs w:val="20"/>
        </w:rPr>
        <w:t xml:space="preserve"> </w:t>
      </w:r>
      <w:proofErr w:type="gramStart"/>
      <w:r w:rsidRPr="00A17312">
        <w:rPr>
          <w:rFonts w:cs="Helvetica"/>
          <w:bCs/>
          <w:sz w:val="20"/>
          <w:szCs w:val="20"/>
          <w:highlight w:val="magenta"/>
        </w:rPr>
        <w:t>highlighted</w:t>
      </w:r>
      <w:proofErr w:type="gramEnd"/>
    </w:p>
    <w:p w14:paraId="4D4060CB" w14:textId="77777777" w:rsidR="00C47BD5" w:rsidRPr="007D7170" w:rsidRDefault="00C47BD5" w:rsidP="00C47BD5">
      <w:pPr>
        <w:spacing w:after="0"/>
        <w:rPr>
          <w:rStyle w:val="SC11114701"/>
          <w:sz w:val="32"/>
          <w:szCs w:val="32"/>
        </w:rPr>
      </w:pPr>
      <w:r w:rsidRPr="007D7170">
        <w:rPr>
          <w:rStyle w:val="SC11114701"/>
          <w:sz w:val="32"/>
          <w:szCs w:val="32"/>
        </w:rPr>
        <w:t>Table 5-19 Multiple APIC Description Table (MADT) Format</w:t>
      </w:r>
    </w:p>
    <w:p w14:paraId="39CE3A57" w14:textId="77777777" w:rsidR="00C47BD5" w:rsidRDefault="00C47BD5" w:rsidP="00C47BD5">
      <w:pPr>
        <w:spacing w:after="0"/>
        <w:rPr>
          <w:rStyle w:val="SC11114701"/>
        </w:rPr>
      </w:pPr>
    </w:p>
    <w:tbl>
      <w:tblPr>
        <w:tblW w:w="811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560"/>
        <w:gridCol w:w="1275"/>
        <w:gridCol w:w="3825"/>
      </w:tblGrid>
      <w:tr w:rsidR="00C47BD5" w14:paraId="3D694DF5" w14:textId="77777777" w:rsidTr="0037557C">
        <w:trPr>
          <w:cantSplit/>
          <w:trHeight w:val="52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A0F957" w14:textId="77777777" w:rsidR="00C47BD5" w:rsidRDefault="00C47BD5" w:rsidP="0037557C">
            <w:pPr>
              <w:spacing w:after="0"/>
              <w:jc w:val="both"/>
            </w:pPr>
            <w:r w:rsidRPr="001A3B57">
              <w:rPr>
                <w:bCs/>
              </w:rPr>
              <w:t>Field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8A615D" w14:textId="77777777" w:rsidR="00C47BD5" w:rsidRPr="001A3B57" w:rsidRDefault="00C47BD5" w:rsidP="0037557C">
            <w:pPr>
              <w:spacing w:after="0"/>
              <w:jc w:val="both"/>
              <w:rPr>
                <w:bCs/>
                <w:color w:val="0000FF"/>
              </w:rPr>
            </w:pPr>
            <w:r w:rsidRPr="001A3B57">
              <w:rPr>
                <w:bCs/>
              </w:rPr>
              <w:t>Byte Length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C5EFB3" w14:textId="77777777" w:rsidR="00C47BD5" w:rsidRPr="001A3B57" w:rsidRDefault="00C47BD5" w:rsidP="0037557C">
            <w:pPr>
              <w:spacing w:after="0"/>
              <w:jc w:val="both"/>
              <w:rPr>
                <w:bCs/>
                <w:color w:val="0000FF"/>
              </w:rPr>
            </w:pPr>
            <w:r w:rsidRPr="001A3B57">
              <w:rPr>
                <w:bCs/>
              </w:rPr>
              <w:t>Byte Offset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89615E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Description</w:t>
            </w:r>
          </w:p>
        </w:tc>
      </w:tr>
      <w:tr w:rsidR="00C47BD5" w14:paraId="3C1E3D6E" w14:textId="77777777" w:rsidTr="0037557C">
        <w:trPr>
          <w:cantSplit/>
          <w:trHeight w:val="269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07EC2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Header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B8848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807A6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A4ECF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</w:p>
        </w:tc>
      </w:tr>
      <w:tr w:rsidR="00C47BD5" w14:paraId="661616AC" w14:textId="77777777" w:rsidTr="0037557C">
        <w:trPr>
          <w:cantSplit/>
          <w:trHeight w:val="269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783D1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8E77A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52B95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BB0F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</w:tr>
      <w:tr w:rsidR="00C47BD5" w14:paraId="351C9171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B7B9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Revision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51BFC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F5C0D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8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FD4" w14:textId="77777777" w:rsidR="00C47BD5" w:rsidRPr="001A3B57" w:rsidRDefault="00C47BD5" w:rsidP="0037557C">
            <w:pPr>
              <w:spacing w:after="0"/>
              <w:jc w:val="both"/>
              <w:rPr>
                <w:bCs/>
                <w:strike/>
              </w:rPr>
            </w:pPr>
            <w:r w:rsidRPr="001A3B57">
              <w:rPr>
                <w:bCs/>
                <w:strike/>
                <w:highlight w:val="red"/>
              </w:rPr>
              <w:t>6</w:t>
            </w:r>
            <w:r w:rsidRPr="001A3B57">
              <w:rPr>
                <w:bCs/>
              </w:rPr>
              <w:t xml:space="preserve"> </w:t>
            </w:r>
            <w:r w:rsidRPr="00D76251">
              <w:rPr>
                <w:bCs/>
                <w:highlight w:val="green"/>
              </w:rPr>
              <w:t>7</w:t>
            </w:r>
          </w:p>
        </w:tc>
      </w:tr>
      <w:tr w:rsidR="00C47BD5" w14:paraId="2FAE34A9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46568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319F3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770F2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...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4BC73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</w:tr>
    </w:tbl>
    <w:p w14:paraId="492709AA" w14:textId="77777777" w:rsidR="00C47BD5" w:rsidRDefault="00C47BD5" w:rsidP="00C47BD5">
      <w:pPr>
        <w:spacing w:before="120"/>
        <w:rPr>
          <w:rStyle w:val="SC11114701"/>
        </w:rPr>
      </w:pPr>
    </w:p>
    <w:p w14:paraId="79AAA987" w14:textId="77777777" w:rsidR="00C47BD5" w:rsidRPr="007D7170" w:rsidRDefault="00C47BD5" w:rsidP="00C47BD5">
      <w:pPr>
        <w:spacing w:before="120"/>
        <w:rPr>
          <w:rStyle w:val="SC11114701"/>
          <w:sz w:val="28"/>
          <w:szCs w:val="28"/>
        </w:rPr>
      </w:pPr>
      <w:r w:rsidRPr="007D7170">
        <w:rPr>
          <w:rStyle w:val="SC11114701"/>
          <w:sz w:val="28"/>
          <w:szCs w:val="28"/>
        </w:rPr>
        <w:t>Table 5.37: GICC CPU Interface Flags</w:t>
      </w:r>
    </w:p>
    <w:tbl>
      <w:tblPr>
        <w:tblW w:w="831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1097"/>
        <w:gridCol w:w="766"/>
        <w:gridCol w:w="5243"/>
      </w:tblGrid>
      <w:tr w:rsidR="00C47BD5" w14:paraId="43A0B2F8" w14:textId="77777777" w:rsidTr="0037557C">
        <w:trPr>
          <w:cantSplit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369A07" w14:textId="77777777" w:rsidR="00C47BD5" w:rsidRDefault="00C47BD5" w:rsidP="0037557C">
            <w:pPr>
              <w:spacing w:after="0"/>
            </w:pPr>
            <w:r w:rsidRPr="001A3B57">
              <w:rPr>
                <w:bCs/>
              </w:rPr>
              <w:t>GIC Flags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BFCD4C" w14:textId="77777777" w:rsidR="00C47BD5" w:rsidRPr="001A3B57" w:rsidRDefault="00C47BD5" w:rsidP="0037557C">
            <w:pPr>
              <w:spacing w:after="0"/>
              <w:rPr>
                <w:bCs/>
                <w:color w:val="0000FF"/>
              </w:rPr>
            </w:pPr>
            <w:r w:rsidRPr="001A3B57">
              <w:rPr>
                <w:bCs/>
              </w:rPr>
              <w:t>Bit Length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338C6A" w14:textId="77777777" w:rsidR="00C47BD5" w:rsidRPr="001A3B57" w:rsidRDefault="00C47BD5" w:rsidP="0037557C">
            <w:pPr>
              <w:spacing w:after="0"/>
              <w:rPr>
                <w:bCs/>
                <w:color w:val="0000FF"/>
              </w:rPr>
            </w:pPr>
            <w:r w:rsidRPr="001A3B57">
              <w:rPr>
                <w:bCs/>
              </w:rPr>
              <w:t>Bit Offset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9E9401" w14:textId="77777777" w:rsidR="00C47BD5" w:rsidRPr="001A3B57" w:rsidRDefault="00C47BD5" w:rsidP="0037557C">
            <w:pPr>
              <w:spacing w:after="0"/>
              <w:rPr>
                <w:bCs/>
              </w:rPr>
            </w:pPr>
            <w:r w:rsidRPr="001A3B57">
              <w:rPr>
                <w:bCs/>
              </w:rPr>
              <w:t>Description</w:t>
            </w:r>
          </w:p>
        </w:tc>
      </w:tr>
      <w:tr w:rsidR="00C47BD5" w14:paraId="0CBFACBE" w14:textId="77777777" w:rsidTr="0037557C">
        <w:trPr>
          <w:cantSplit/>
        </w:trPr>
        <w:tc>
          <w:tcPr>
            <w:tcW w:w="1213" w:type="dxa"/>
            <w:shd w:val="clear" w:color="auto" w:fill="auto"/>
          </w:tcPr>
          <w:p w14:paraId="06FEAE50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7A6580">
              <w:rPr>
                <w:lang w:eastAsia="en-GB"/>
              </w:rPr>
              <w:t>Enabled</w:t>
            </w:r>
          </w:p>
        </w:tc>
        <w:tc>
          <w:tcPr>
            <w:tcW w:w="1097" w:type="dxa"/>
            <w:shd w:val="clear" w:color="auto" w:fill="auto"/>
          </w:tcPr>
          <w:p w14:paraId="7371DAD9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7A6580">
              <w:rPr>
                <w:lang w:eastAsia="en-GB"/>
              </w:rPr>
              <w:t>1</w:t>
            </w:r>
          </w:p>
        </w:tc>
        <w:tc>
          <w:tcPr>
            <w:tcW w:w="764" w:type="dxa"/>
            <w:shd w:val="clear" w:color="auto" w:fill="auto"/>
          </w:tcPr>
          <w:p w14:paraId="71E5A1FA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7A6580">
              <w:rPr>
                <w:lang w:eastAsia="en-GB"/>
              </w:rPr>
              <w:t>0</w:t>
            </w:r>
          </w:p>
        </w:tc>
        <w:tc>
          <w:tcPr>
            <w:tcW w:w="5245" w:type="dxa"/>
            <w:shd w:val="clear" w:color="auto" w:fill="auto"/>
          </w:tcPr>
          <w:p w14:paraId="1183EA49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>
              <w:rPr>
                <w:lang w:eastAsia="en-GB"/>
              </w:rPr>
              <w:t>…</w:t>
            </w:r>
          </w:p>
        </w:tc>
      </w:tr>
      <w:tr w:rsidR="00C47BD5" w14:paraId="6EF56BA8" w14:textId="77777777" w:rsidTr="0037557C">
        <w:trPr>
          <w:cantSplit/>
        </w:trPr>
        <w:tc>
          <w:tcPr>
            <w:tcW w:w="1213" w:type="dxa"/>
            <w:shd w:val="clear" w:color="auto" w:fill="auto"/>
          </w:tcPr>
          <w:p w14:paraId="3052ADAC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>
              <w:rPr>
                <w:lang w:eastAsia="en-GB"/>
              </w:rPr>
              <w:t>…</w:t>
            </w:r>
          </w:p>
        </w:tc>
        <w:tc>
          <w:tcPr>
            <w:tcW w:w="1097" w:type="dxa"/>
            <w:shd w:val="clear" w:color="auto" w:fill="auto"/>
          </w:tcPr>
          <w:p w14:paraId="6EDD5F3F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>
              <w:rPr>
                <w:lang w:eastAsia="en-GB"/>
              </w:rPr>
              <w:t>…</w:t>
            </w:r>
          </w:p>
        </w:tc>
        <w:tc>
          <w:tcPr>
            <w:tcW w:w="764" w:type="dxa"/>
            <w:shd w:val="clear" w:color="auto" w:fill="auto"/>
          </w:tcPr>
          <w:p w14:paraId="3D9BE3D4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>
              <w:rPr>
                <w:lang w:eastAsia="en-GB"/>
              </w:rPr>
              <w:t>…</w:t>
            </w:r>
          </w:p>
        </w:tc>
        <w:tc>
          <w:tcPr>
            <w:tcW w:w="5245" w:type="dxa"/>
            <w:shd w:val="clear" w:color="auto" w:fill="auto"/>
          </w:tcPr>
          <w:p w14:paraId="20802418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>
              <w:rPr>
                <w:lang w:eastAsia="en-GB"/>
              </w:rPr>
              <w:t>…</w:t>
            </w:r>
          </w:p>
        </w:tc>
      </w:tr>
      <w:tr w:rsidR="00C47BD5" w14:paraId="2591082F" w14:textId="77777777" w:rsidTr="0037557C">
        <w:trPr>
          <w:cantSplit/>
        </w:trPr>
        <w:tc>
          <w:tcPr>
            <w:tcW w:w="1213" w:type="dxa"/>
            <w:shd w:val="clear" w:color="auto" w:fill="auto"/>
          </w:tcPr>
          <w:p w14:paraId="582FFC0C" w14:textId="77777777" w:rsidR="00C47BD5" w:rsidRPr="000527AD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0527AD">
              <w:rPr>
                <w:lang w:eastAsia="en-GB"/>
              </w:rPr>
              <w:t>Online Capable</w:t>
            </w:r>
          </w:p>
        </w:tc>
        <w:tc>
          <w:tcPr>
            <w:tcW w:w="1097" w:type="dxa"/>
            <w:shd w:val="clear" w:color="auto" w:fill="auto"/>
          </w:tcPr>
          <w:p w14:paraId="43E5477A" w14:textId="77777777" w:rsidR="00C47BD5" w:rsidRPr="000527AD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0527AD">
              <w:rPr>
                <w:lang w:eastAsia="en-GB"/>
              </w:rPr>
              <w:t>1</w:t>
            </w:r>
          </w:p>
        </w:tc>
        <w:tc>
          <w:tcPr>
            <w:tcW w:w="764" w:type="dxa"/>
            <w:shd w:val="clear" w:color="auto" w:fill="auto"/>
          </w:tcPr>
          <w:p w14:paraId="4DF3FB78" w14:textId="77777777" w:rsidR="00C47BD5" w:rsidRPr="000527AD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0527AD">
              <w:rPr>
                <w:lang w:eastAsia="en-GB"/>
              </w:rPr>
              <w:t>3</w:t>
            </w:r>
          </w:p>
        </w:tc>
        <w:tc>
          <w:tcPr>
            <w:tcW w:w="5245" w:type="dxa"/>
            <w:shd w:val="clear" w:color="auto" w:fill="auto"/>
          </w:tcPr>
          <w:p w14:paraId="240316DE" w14:textId="77777777" w:rsidR="00C47BD5" w:rsidRPr="000527AD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>
              <w:rPr>
                <w:lang w:eastAsia="en-GB"/>
              </w:rPr>
              <w:t>…</w:t>
            </w:r>
          </w:p>
        </w:tc>
      </w:tr>
      <w:tr w:rsidR="00C47BD5" w14:paraId="59ACEA89" w14:textId="77777777" w:rsidTr="0037557C">
        <w:trPr>
          <w:cantSplit/>
        </w:trPr>
        <w:tc>
          <w:tcPr>
            <w:tcW w:w="1213" w:type="dxa"/>
            <w:shd w:val="clear" w:color="auto" w:fill="auto"/>
          </w:tcPr>
          <w:p w14:paraId="47F3BC21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GICR Non-coherent</w:t>
            </w:r>
          </w:p>
        </w:tc>
        <w:tc>
          <w:tcPr>
            <w:tcW w:w="1097" w:type="dxa"/>
            <w:shd w:val="clear" w:color="auto" w:fill="auto"/>
          </w:tcPr>
          <w:p w14:paraId="6C851BA5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1</w:t>
            </w:r>
          </w:p>
        </w:tc>
        <w:tc>
          <w:tcPr>
            <w:tcW w:w="764" w:type="dxa"/>
            <w:shd w:val="clear" w:color="auto" w:fill="auto"/>
          </w:tcPr>
          <w:p w14:paraId="49828B17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4</w:t>
            </w:r>
          </w:p>
        </w:tc>
        <w:tc>
          <w:tcPr>
            <w:tcW w:w="5245" w:type="dxa"/>
            <w:shd w:val="clear" w:color="auto" w:fill="auto"/>
          </w:tcPr>
          <w:p w14:paraId="301EDED4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rFonts w:ascii="Calibri" w:hAnsi="Calibri" w:cs="Calibri"/>
                <w:highlight w:val="green"/>
                <w:lang w:eastAsia="en-GB"/>
              </w:rPr>
              <w:t>﻿</w:t>
            </w:r>
            <w:r w:rsidRPr="001A3B57">
              <w:rPr>
                <w:highlight w:val="green"/>
                <w:lang w:eastAsia="en-GB"/>
              </w:rPr>
              <w:t>On systems supporting GICv3 and above</w:t>
            </w:r>
            <w:r>
              <w:rPr>
                <w:highlight w:val="green"/>
                <w:lang w:eastAsia="en-GB"/>
              </w:rPr>
              <w:t>,</w:t>
            </w:r>
            <w:r w:rsidRPr="001A3B57">
              <w:rPr>
                <w:highlight w:val="green"/>
                <w:lang w:eastAsia="en-GB"/>
              </w:rPr>
              <w:t xml:space="preserve"> this field specifies if the GIC Redistributor </w:t>
            </w:r>
            <w:r>
              <w:rPr>
                <w:highlight w:val="green"/>
                <w:lang w:eastAsia="en-GB"/>
              </w:rPr>
              <w:t xml:space="preserve">described in the </w:t>
            </w:r>
            <w:r w:rsidRPr="001A3B57">
              <w:rPr>
                <w:highlight w:val="green"/>
                <w:lang w:eastAsia="en-GB"/>
              </w:rPr>
              <w:t xml:space="preserve">associated </w:t>
            </w:r>
            <w:r>
              <w:rPr>
                <w:highlight w:val="green"/>
                <w:lang w:eastAsia="en-GB"/>
              </w:rPr>
              <w:t>GICC structure</w:t>
            </w:r>
            <w:r w:rsidRPr="001A3B57">
              <w:rPr>
                <w:highlight w:val="green"/>
                <w:lang w:eastAsia="en-GB"/>
              </w:rPr>
              <w:t xml:space="preserve"> is cache coherent with the CPU. The values for this flag are: </w:t>
            </w:r>
          </w:p>
          <w:p w14:paraId="2B572CF4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4A64607C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0x0: This Redistributor is fully coherent. OSPM does not need to perform any Cache Maintenance on the associated tables in memo</w:t>
            </w:r>
            <w:r w:rsidRPr="009A3ABB">
              <w:rPr>
                <w:highlight w:val="green"/>
                <w:lang w:eastAsia="en-GB"/>
              </w:rPr>
              <w:t xml:space="preserve">ry </w:t>
            </w:r>
            <w:r w:rsidRPr="009A3ABB">
              <w:rPr>
                <w:highlight w:val="green"/>
              </w:rPr>
              <w:t xml:space="preserve">if </w:t>
            </w:r>
            <w:r>
              <w:rPr>
                <w:highlight w:val="green"/>
              </w:rPr>
              <w:t xml:space="preserve">the </w:t>
            </w:r>
            <w:r w:rsidRPr="009A3ABB">
              <w:rPr>
                <w:highlight w:val="green"/>
              </w:rPr>
              <w:t xml:space="preserve">appropriate cacheability and shareability attributes </w:t>
            </w:r>
            <w:r>
              <w:rPr>
                <w:highlight w:val="green"/>
              </w:rPr>
              <w:t>have been</w:t>
            </w:r>
            <w:r w:rsidRPr="009A3ABB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>configured in the Redistributor</w:t>
            </w:r>
            <w:r w:rsidRPr="009A3ABB">
              <w:rPr>
                <w:highlight w:val="green"/>
                <w:lang w:eastAsia="en-GB"/>
              </w:rPr>
              <w:t>.</w:t>
            </w:r>
          </w:p>
          <w:p w14:paraId="07D658B5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4515BB32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0x1: This Redistributor is not coherent. OSPM needs to perform cache maintenance on the associated tables in memory.</w:t>
            </w:r>
          </w:p>
          <w:p w14:paraId="6DBB43C7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44242899" w14:textId="77777777" w:rsidR="00C47BD5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 xml:space="preserve">If all the GIC Redistributors are in the always-on power domain, </w:t>
            </w:r>
            <w:r>
              <w:rPr>
                <w:highlight w:val="green"/>
                <w:lang w:eastAsia="en-GB"/>
              </w:rPr>
              <w:t xml:space="preserve">then </w:t>
            </w:r>
            <w:r w:rsidRPr="001A3B57">
              <w:rPr>
                <w:highlight w:val="green"/>
                <w:lang w:eastAsia="en-GB"/>
              </w:rPr>
              <w:t xml:space="preserve">the GICR structure </w:t>
            </w:r>
            <w:r>
              <w:rPr>
                <w:highlight w:val="green"/>
                <w:lang w:eastAsia="en-GB"/>
              </w:rPr>
              <w:t>is</w:t>
            </w:r>
            <w:r w:rsidRPr="001A3B57">
              <w:rPr>
                <w:highlight w:val="green"/>
                <w:lang w:eastAsia="en-GB"/>
              </w:rPr>
              <w:t xml:space="preserve"> used to describe th</w:t>
            </w:r>
            <w:r>
              <w:rPr>
                <w:highlight w:val="green"/>
                <w:lang w:eastAsia="en-GB"/>
              </w:rPr>
              <w:t>is</w:t>
            </w:r>
            <w:r w:rsidRPr="001A3B57">
              <w:rPr>
                <w:highlight w:val="green"/>
                <w:lang w:eastAsia="en-GB"/>
              </w:rPr>
              <w:t xml:space="preserve"> Redistributor</w:t>
            </w:r>
            <w:r>
              <w:rPr>
                <w:highlight w:val="green"/>
                <w:lang w:eastAsia="en-GB"/>
              </w:rPr>
              <w:t xml:space="preserve"> and</w:t>
            </w:r>
            <w:r w:rsidRPr="001A3B57">
              <w:rPr>
                <w:highlight w:val="green"/>
                <w:lang w:eastAsia="en-GB"/>
              </w:rPr>
              <w:t xml:space="preserve"> this field must be ignored by OSPM.</w:t>
            </w:r>
          </w:p>
          <w:p w14:paraId="3A364070" w14:textId="77777777" w:rsidR="00C47BD5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4E52CDC5" w14:textId="4C28368E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E76856">
              <w:rPr>
                <w:highlight w:val="green"/>
                <w:lang w:eastAsia="en-GB"/>
              </w:rPr>
              <w:t xml:space="preserve">Note: All </w:t>
            </w:r>
            <w:r w:rsidR="004206DE">
              <w:rPr>
                <w:highlight w:val="green"/>
                <w:lang w:eastAsia="en-GB"/>
              </w:rPr>
              <w:t>GIC CPU Interface</w:t>
            </w:r>
            <w:r w:rsidRPr="00E76856">
              <w:rPr>
                <w:highlight w:val="green"/>
                <w:lang w:eastAsia="en-GB"/>
              </w:rPr>
              <w:t xml:space="preserve"> </w:t>
            </w:r>
            <w:r w:rsidR="009F1941">
              <w:rPr>
                <w:highlight w:val="green"/>
                <w:lang w:eastAsia="en-GB"/>
              </w:rPr>
              <w:t xml:space="preserve">structures </w:t>
            </w:r>
            <w:r w:rsidRPr="00E76856">
              <w:rPr>
                <w:highlight w:val="green"/>
                <w:lang w:eastAsia="en-GB"/>
              </w:rPr>
              <w:t>in the system must have the same value for this flag.</w:t>
            </w:r>
          </w:p>
        </w:tc>
      </w:tr>
      <w:tr w:rsidR="00C47BD5" w14:paraId="40A7ECB8" w14:textId="77777777" w:rsidTr="0037557C">
        <w:trPr>
          <w:cantSplit/>
        </w:trPr>
        <w:tc>
          <w:tcPr>
            <w:tcW w:w="1213" w:type="dxa"/>
            <w:shd w:val="clear" w:color="auto" w:fill="auto"/>
          </w:tcPr>
          <w:p w14:paraId="59AE8028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7A6580">
              <w:rPr>
                <w:lang w:eastAsia="en-GB"/>
              </w:rPr>
              <w:t>Reserved</w:t>
            </w:r>
          </w:p>
        </w:tc>
        <w:tc>
          <w:tcPr>
            <w:tcW w:w="1097" w:type="dxa"/>
            <w:shd w:val="clear" w:color="auto" w:fill="auto"/>
          </w:tcPr>
          <w:p w14:paraId="16775813" w14:textId="15809B34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yellow"/>
                <w:lang w:eastAsia="en-GB"/>
              </w:rPr>
            </w:pPr>
            <w:r w:rsidRPr="001A3B57">
              <w:rPr>
                <w:strike/>
                <w:highlight w:val="red"/>
                <w:lang w:eastAsia="en-GB"/>
              </w:rPr>
              <w:t>28</w:t>
            </w:r>
            <w:r w:rsidR="00C368C6" w:rsidRPr="00B73C72">
              <w:rPr>
                <w:lang w:eastAsia="en-GB"/>
              </w:rPr>
              <w:t xml:space="preserve"> </w:t>
            </w:r>
            <w:r w:rsidRPr="00D76251">
              <w:rPr>
                <w:highlight w:val="green"/>
                <w:lang w:eastAsia="en-GB"/>
              </w:rPr>
              <w:t>27</w:t>
            </w:r>
          </w:p>
        </w:tc>
        <w:tc>
          <w:tcPr>
            <w:tcW w:w="764" w:type="dxa"/>
            <w:shd w:val="clear" w:color="auto" w:fill="auto"/>
          </w:tcPr>
          <w:p w14:paraId="7B7A86B3" w14:textId="05526055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yellow"/>
                <w:lang w:eastAsia="en-GB"/>
              </w:rPr>
            </w:pPr>
            <w:r w:rsidRPr="001A3B57">
              <w:rPr>
                <w:strike/>
                <w:highlight w:val="red"/>
                <w:lang w:eastAsia="en-GB"/>
              </w:rPr>
              <w:t>4</w:t>
            </w:r>
            <w:r w:rsidR="00B73C72" w:rsidRPr="00B73C72">
              <w:rPr>
                <w:lang w:eastAsia="en-GB"/>
              </w:rPr>
              <w:t xml:space="preserve"> </w:t>
            </w:r>
            <w:r w:rsidRPr="00D76251">
              <w:rPr>
                <w:highlight w:val="green"/>
                <w:lang w:eastAsia="en-GB"/>
              </w:rPr>
              <w:t>5</w:t>
            </w:r>
          </w:p>
        </w:tc>
        <w:tc>
          <w:tcPr>
            <w:tcW w:w="5245" w:type="dxa"/>
            <w:shd w:val="clear" w:color="auto" w:fill="auto"/>
          </w:tcPr>
          <w:p w14:paraId="268E6AE7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7A6580">
              <w:rPr>
                <w:lang w:eastAsia="en-GB"/>
              </w:rPr>
              <w:t>Must be zero.</w:t>
            </w:r>
          </w:p>
        </w:tc>
      </w:tr>
    </w:tbl>
    <w:p w14:paraId="05312FA8" w14:textId="77777777" w:rsidR="00C47BD5" w:rsidRDefault="00C47BD5" w:rsidP="00C47BD5">
      <w:pPr>
        <w:spacing w:before="120"/>
        <w:rPr>
          <w:rStyle w:val="SC11114701"/>
        </w:rPr>
      </w:pPr>
    </w:p>
    <w:p w14:paraId="11A4CA83" w14:textId="77777777" w:rsidR="00202F94" w:rsidRDefault="00202F94" w:rsidP="00C47BD5">
      <w:pPr>
        <w:spacing w:before="120"/>
        <w:rPr>
          <w:rStyle w:val="SC11114701"/>
        </w:rPr>
      </w:pPr>
    </w:p>
    <w:p w14:paraId="12CDBDF0" w14:textId="77777777" w:rsidR="00202F94" w:rsidRDefault="00202F94" w:rsidP="00C47BD5">
      <w:pPr>
        <w:spacing w:before="120"/>
        <w:rPr>
          <w:rStyle w:val="SC11114701"/>
        </w:rPr>
      </w:pPr>
    </w:p>
    <w:p w14:paraId="4AFDE738" w14:textId="77777777" w:rsidR="00C47BD5" w:rsidRPr="007D7170" w:rsidRDefault="00C47BD5" w:rsidP="00C47BD5">
      <w:pPr>
        <w:spacing w:before="120"/>
        <w:rPr>
          <w:rStyle w:val="SC11114701"/>
          <w:sz w:val="24"/>
          <w:szCs w:val="24"/>
        </w:rPr>
      </w:pPr>
      <w:r w:rsidRPr="007D7170">
        <w:rPr>
          <w:rStyle w:val="SC11114701"/>
          <w:sz w:val="24"/>
          <w:szCs w:val="24"/>
        </w:rPr>
        <w:t>Table 5.41: GICR Structure</w:t>
      </w:r>
    </w:p>
    <w:tbl>
      <w:tblPr>
        <w:tblW w:w="789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560"/>
        <w:gridCol w:w="1275"/>
        <w:gridCol w:w="3608"/>
      </w:tblGrid>
      <w:tr w:rsidR="00C47BD5" w14:paraId="6C22FFB3" w14:textId="77777777" w:rsidTr="0037557C">
        <w:trPr>
          <w:cantSplit/>
          <w:trHeight w:val="52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9C291D" w14:textId="77777777" w:rsidR="00C47BD5" w:rsidRDefault="00C47BD5" w:rsidP="0037557C">
            <w:pPr>
              <w:spacing w:after="0"/>
              <w:jc w:val="both"/>
            </w:pPr>
            <w:r w:rsidRPr="001A3B57">
              <w:rPr>
                <w:rFonts w:ascii="Arial-BoldMT" w:hAnsi="Arial-BoldMT"/>
                <w:b/>
                <w:bCs/>
                <w:color w:val="000000"/>
                <w:sz w:val="28"/>
                <w:szCs w:val="28"/>
              </w:rPr>
              <w:tab/>
            </w:r>
            <w:r w:rsidRPr="001A3B57">
              <w:rPr>
                <w:bCs/>
              </w:rPr>
              <w:t>Field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E1E1E0" w14:textId="77777777" w:rsidR="00C47BD5" w:rsidRPr="001A3B57" w:rsidRDefault="00C47BD5" w:rsidP="0037557C">
            <w:pPr>
              <w:spacing w:after="0"/>
              <w:jc w:val="both"/>
              <w:rPr>
                <w:bCs/>
                <w:color w:val="0000FF"/>
              </w:rPr>
            </w:pPr>
            <w:r w:rsidRPr="001A3B57">
              <w:rPr>
                <w:bCs/>
              </w:rPr>
              <w:t>Byte Length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A32BE2" w14:textId="77777777" w:rsidR="00C47BD5" w:rsidRPr="001A3B57" w:rsidRDefault="00C47BD5" w:rsidP="0037557C">
            <w:pPr>
              <w:spacing w:after="0"/>
              <w:jc w:val="both"/>
              <w:rPr>
                <w:bCs/>
                <w:color w:val="0000FF"/>
              </w:rPr>
            </w:pPr>
            <w:r w:rsidRPr="001A3B57">
              <w:rPr>
                <w:bCs/>
              </w:rPr>
              <w:t>Byte Offset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7151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Description</w:t>
            </w:r>
          </w:p>
        </w:tc>
      </w:tr>
      <w:tr w:rsidR="00C47BD5" w14:paraId="1687DC5B" w14:textId="77777777" w:rsidTr="0037557C">
        <w:trPr>
          <w:cantSplit/>
          <w:trHeight w:val="269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8569D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F7DC1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84236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0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0D714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0xE GICR Structure</w:t>
            </w:r>
          </w:p>
        </w:tc>
      </w:tr>
      <w:tr w:rsidR="00C47BD5" w14:paraId="2F38CC88" w14:textId="77777777" w:rsidTr="0037557C">
        <w:trPr>
          <w:cantSplit/>
          <w:trHeight w:val="269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D4A79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Length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F05BB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BC7D9" w14:textId="77777777" w:rsidR="00C47BD5" w:rsidRPr="00CB5ECD" w:rsidRDefault="00C47BD5" w:rsidP="0037557C">
            <w:pPr>
              <w:spacing w:after="0"/>
              <w:jc w:val="both"/>
            </w:pPr>
            <w:r>
              <w:t>1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EC5D9" w14:textId="77777777" w:rsidR="00C47BD5" w:rsidRPr="00CB5ECD" w:rsidRDefault="00C47BD5" w:rsidP="0037557C">
            <w:pPr>
              <w:spacing w:after="0"/>
              <w:jc w:val="both"/>
            </w:pPr>
            <w:r>
              <w:t>16</w:t>
            </w:r>
          </w:p>
        </w:tc>
      </w:tr>
      <w:tr w:rsidR="00C47BD5" w14:paraId="54A3941E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B47D0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Flags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EB834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D5ADD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2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39E0F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See GICR Flags</w:t>
            </w:r>
          </w:p>
        </w:tc>
      </w:tr>
      <w:tr w:rsidR="00C47BD5" w14:paraId="378BCC81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279B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Reserved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A1D95" w14:textId="77777777" w:rsidR="00C47BD5" w:rsidRPr="00CB5ECD" w:rsidRDefault="00C47BD5" w:rsidP="0037557C">
            <w:pPr>
              <w:spacing w:after="0"/>
              <w:jc w:val="both"/>
            </w:pPr>
            <w:r w:rsidRPr="001A3B57">
              <w:rPr>
                <w:strike/>
                <w:highlight w:val="red"/>
              </w:rPr>
              <w:t>2</w:t>
            </w:r>
            <w:r>
              <w:t xml:space="preserve"> </w:t>
            </w:r>
            <w:r w:rsidRPr="00D76251">
              <w:rPr>
                <w:highlight w:val="gree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A06A" w14:textId="77777777" w:rsidR="00C47BD5" w:rsidRPr="00CB5ECD" w:rsidRDefault="00C47BD5" w:rsidP="0037557C">
            <w:pPr>
              <w:spacing w:after="0"/>
              <w:jc w:val="both"/>
            </w:pPr>
            <w:r w:rsidRPr="001A3B57">
              <w:rPr>
                <w:strike/>
                <w:highlight w:val="red"/>
              </w:rPr>
              <w:t>2</w:t>
            </w:r>
            <w:r>
              <w:t xml:space="preserve"> </w:t>
            </w:r>
            <w:r w:rsidRPr="00D76251">
              <w:rPr>
                <w:highlight w:val="green"/>
              </w:rPr>
              <w:t>3</w:t>
            </w: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FE0B2" w14:textId="77777777" w:rsidR="00C47BD5" w:rsidRPr="00CB5ECD" w:rsidRDefault="00C47BD5" w:rsidP="0037557C">
            <w:pPr>
              <w:spacing w:after="0"/>
              <w:jc w:val="both"/>
            </w:pPr>
            <w:r>
              <w:t>Reserved – Must be Zero</w:t>
            </w:r>
          </w:p>
        </w:tc>
      </w:tr>
      <w:tr w:rsidR="00C47BD5" w14:paraId="513865E5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1416A" w14:textId="77777777" w:rsidR="00C47BD5" w:rsidRPr="00CB5ECD" w:rsidRDefault="00C47BD5" w:rsidP="0037557C">
            <w:pPr>
              <w:tabs>
                <w:tab w:val="left" w:pos="619"/>
              </w:tabs>
              <w:spacing w:after="0"/>
              <w:jc w:val="both"/>
            </w:pPr>
            <w:r>
              <w:t>Discovery Range Base 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73D19" w14:textId="77777777" w:rsidR="00C47BD5" w:rsidRPr="00CB5ECD" w:rsidRDefault="00C47BD5" w:rsidP="0037557C">
            <w:pPr>
              <w:spacing w:after="0"/>
              <w:jc w:val="both"/>
            </w:pPr>
            <w: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FCDC2" w14:textId="77777777" w:rsidR="00C47BD5" w:rsidRPr="00CB5ECD" w:rsidRDefault="00C47BD5" w:rsidP="0037557C">
            <w:pPr>
              <w:spacing w:after="0"/>
              <w:jc w:val="both"/>
            </w:pPr>
            <w:r>
              <w:t>4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577F8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…</w:t>
            </w:r>
          </w:p>
        </w:tc>
      </w:tr>
      <w:tr w:rsidR="00C47BD5" w14:paraId="68707AFB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E551" w14:textId="77777777" w:rsidR="00C47BD5" w:rsidRDefault="00C47BD5" w:rsidP="0037557C">
            <w:pPr>
              <w:tabs>
                <w:tab w:val="left" w:pos="619"/>
              </w:tabs>
              <w:spacing w:after="0"/>
              <w:jc w:val="both"/>
            </w:pPr>
            <w:r>
              <w:t>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F608B" w14:textId="77777777" w:rsidR="00C47BD5" w:rsidRDefault="00C47BD5" w:rsidP="0037557C">
            <w:pPr>
              <w:spacing w:after="0"/>
              <w:jc w:val="both"/>
            </w:pPr>
            <w: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819A" w14:textId="77777777" w:rsidR="00C47BD5" w:rsidRDefault="00C47BD5" w:rsidP="0037557C">
            <w:pPr>
              <w:spacing w:after="0"/>
              <w:jc w:val="both"/>
            </w:pPr>
            <w:r>
              <w:t>…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3A0E6" w14:textId="77777777" w:rsidR="00C47BD5" w:rsidRPr="00CB5ECD" w:rsidRDefault="00C47BD5" w:rsidP="0037557C">
            <w:pPr>
              <w:spacing w:after="0"/>
              <w:jc w:val="both"/>
            </w:pPr>
            <w:r>
              <w:t>…</w:t>
            </w:r>
          </w:p>
        </w:tc>
      </w:tr>
    </w:tbl>
    <w:p w14:paraId="3E2AF0CF" w14:textId="77777777" w:rsidR="00C47BD5" w:rsidRDefault="00C47BD5" w:rsidP="00C47BD5">
      <w:pPr>
        <w:spacing w:before="120"/>
        <w:rPr>
          <w:rFonts w:ascii="Arial-BoldMT" w:hAnsi="Arial-BoldMT" w:hint="eastAsia"/>
          <w:b/>
          <w:bCs/>
          <w:color w:val="000000"/>
          <w:sz w:val="28"/>
          <w:szCs w:val="28"/>
        </w:rPr>
      </w:pPr>
    </w:p>
    <w:p w14:paraId="1065182F" w14:textId="77777777" w:rsidR="00C47BD5" w:rsidRPr="007D7170" w:rsidRDefault="00C47BD5" w:rsidP="00C47BD5">
      <w:pPr>
        <w:spacing w:before="120"/>
        <w:rPr>
          <w:rStyle w:val="SC11114701"/>
          <w:sz w:val="28"/>
          <w:szCs w:val="28"/>
        </w:rPr>
      </w:pPr>
      <w:r w:rsidRPr="007D7170">
        <w:rPr>
          <w:rStyle w:val="SC11114701"/>
          <w:sz w:val="28"/>
          <w:szCs w:val="28"/>
          <w:highlight w:val="green"/>
        </w:rPr>
        <w:t>Table 5.xx: GICR Flags</w:t>
      </w:r>
    </w:p>
    <w:p w14:paraId="115D7488" w14:textId="77777777" w:rsidR="00C47BD5" w:rsidRPr="002E3593" w:rsidRDefault="00C47BD5" w:rsidP="00C47BD5">
      <w:pPr>
        <w:spacing w:before="120"/>
        <w:rPr>
          <w:rStyle w:val="SC11114701"/>
        </w:rPr>
      </w:pPr>
    </w:p>
    <w:tbl>
      <w:tblPr>
        <w:tblW w:w="792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993"/>
        <w:gridCol w:w="992"/>
        <w:gridCol w:w="4848"/>
      </w:tblGrid>
      <w:tr w:rsidR="00C47BD5" w:rsidRPr="001A3B57" w14:paraId="51FF3311" w14:textId="77777777" w:rsidTr="0037557C">
        <w:trPr>
          <w:cantSplit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4C3463" w14:textId="77777777" w:rsidR="00C47BD5" w:rsidRPr="001A3B57" w:rsidRDefault="00C47BD5" w:rsidP="0037557C">
            <w:pPr>
              <w:spacing w:after="0"/>
              <w:rPr>
                <w:highlight w:val="green"/>
              </w:rPr>
            </w:pPr>
            <w:r w:rsidRPr="001A3B57">
              <w:rPr>
                <w:bCs/>
                <w:highlight w:val="green"/>
              </w:rPr>
              <w:t>GICR Flags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828F89" w14:textId="77777777" w:rsidR="00C47BD5" w:rsidRPr="001A3B57" w:rsidRDefault="00C47BD5" w:rsidP="0037557C">
            <w:pPr>
              <w:spacing w:after="0"/>
              <w:rPr>
                <w:bCs/>
                <w:color w:val="0000FF"/>
                <w:highlight w:val="green"/>
              </w:rPr>
            </w:pPr>
            <w:r w:rsidRPr="001A3B57">
              <w:rPr>
                <w:bCs/>
                <w:highlight w:val="green"/>
              </w:rPr>
              <w:t>Bit Length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93EE2" w14:textId="77777777" w:rsidR="00C47BD5" w:rsidRPr="001A3B57" w:rsidRDefault="00C47BD5" w:rsidP="0037557C">
            <w:pPr>
              <w:spacing w:after="0"/>
              <w:rPr>
                <w:bCs/>
                <w:color w:val="0000FF"/>
                <w:highlight w:val="green"/>
              </w:rPr>
            </w:pPr>
            <w:r w:rsidRPr="001A3B57">
              <w:rPr>
                <w:bCs/>
                <w:highlight w:val="green"/>
              </w:rPr>
              <w:t>Bit Offset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7E1BDA" w14:textId="77777777" w:rsidR="00C47BD5" w:rsidRPr="001A3B57" w:rsidRDefault="00C47BD5" w:rsidP="0037557C">
            <w:pPr>
              <w:spacing w:after="0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Description</w:t>
            </w:r>
          </w:p>
        </w:tc>
      </w:tr>
      <w:tr w:rsidR="00C47BD5" w:rsidRPr="001A3B57" w14:paraId="3D2F6069" w14:textId="77777777" w:rsidTr="0037557C">
        <w:trPr>
          <w:cantSplit/>
        </w:trPr>
        <w:tc>
          <w:tcPr>
            <w:tcW w:w="1089" w:type="dxa"/>
            <w:shd w:val="clear" w:color="auto" w:fill="auto"/>
          </w:tcPr>
          <w:p w14:paraId="4656E7D8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GICR Non-coherent</w:t>
            </w:r>
          </w:p>
        </w:tc>
        <w:tc>
          <w:tcPr>
            <w:tcW w:w="993" w:type="dxa"/>
            <w:shd w:val="clear" w:color="auto" w:fill="auto"/>
          </w:tcPr>
          <w:p w14:paraId="0F092D0D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6E120E8E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0</w:t>
            </w:r>
          </w:p>
        </w:tc>
        <w:tc>
          <w:tcPr>
            <w:tcW w:w="4848" w:type="dxa"/>
            <w:shd w:val="clear" w:color="auto" w:fill="auto"/>
          </w:tcPr>
          <w:p w14:paraId="45C55EB0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rFonts w:ascii="Calibri" w:hAnsi="Calibri" w:cs="Calibri"/>
                <w:highlight w:val="green"/>
                <w:lang w:eastAsia="en-GB"/>
              </w:rPr>
              <w:t>﻿</w:t>
            </w:r>
            <w:r>
              <w:rPr>
                <w:rFonts w:ascii="Calibri" w:hAnsi="Calibri" w:cs="Calibri"/>
                <w:highlight w:val="green"/>
                <w:lang w:eastAsia="en-GB"/>
              </w:rPr>
              <w:t>T</w:t>
            </w:r>
            <w:r w:rsidRPr="001A3B57">
              <w:rPr>
                <w:highlight w:val="green"/>
                <w:lang w:eastAsia="en-GB"/>
              </w:rPr>
              <w:t xml:space="preserve">his field specifies if the </w:t>
            </w:r>
            <w:r>
              <w:rPr>
                <w:highlight w:val="green"/>
                <w:lang w:eastAsia="en-GB"/>
              </w:rPr>
              <w:t xml:space="preserve">associated </w:t>
            </w:r>
            <w:r w:rsidRPr="001A3B57">
              <w:rPr>
                <w:highlight w:val="green"/>
                <w:lang w:eastAsia="en-GB"/>
              </w:rPr>
              <w:t>GIC Redistributor</w:t>
            </w:r>
            <w:r>
              <w:rPr>
                <w:highlight w:val="green"/>
                <w:lang w:eastAsia="en-GB"/>
              </w:rPr>
              <w:t>s</w:t>
            </w:r>
            <w:r w:rsidRPr="001A3B57">
              <w:rPr>
                <w:highlight w:val="green"/>
                <w:lang w:eastAsia="en-GB"/>
              </w:rPr>
              <w:t xml:space="preserve"> </w:t>
            </w:r>
            <w:r>
              <w:rPr>
                <w:highlight w:val="green"/>
                <w:lang w:eastAsia="en-GB"/>
              </w:rPr>
              <w:t>are</w:t>
            </w:r>
            <w:r w:rsidRPr="001A3B57">
              <w:rPr>
                <w:highlight w:val="green"/>
                <w:lang w:eastAsia="en-GB"/>
              </w:rPr>
              <w:t xml:space="preserve"> cache coherent with the CPU. The values for this flag are: </w:t>
            </w:r>
          </w:p>
          <w:p w14:paraId="3FCE5E94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6B0F2908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 xml:space="preserve">0x0: </w:t>
            </w:r>
            <w:r w:rsidRPr="00E76856">
              <w:rPr>
                <w:highlight w:val="green"/>
                <w:lang w:eastAsia="en-GB"/>
              </w:rPr>
              <w:t xml:space="preserve">The Redistributors </w:t>
            </w:r>
            <w:r>
              <w:rPr>
                <w:highlight w:val="green"/>
                <w:lang w:eastAsia="en-GB"/>
              </w:rPr>
              <w:t>are</w:t>
            </w:r>
            <w:r w:rsidRPr="001A3B57">
              <w:rPr>
                <w:highlight w:val="green"/>
                <w:lang w:eastAsia="en-GB"/>
              </w:rPr>
              <w:t xml:space="preserve"> fully coherent. OSPM does not need to perform any Cache Maintenance on the associated tables in memory</w:t>
            </w:r>
            <w:r>
              <w:rPr>
                <w:highlight w:val="green"/>
                <w:lang w:eastAsia="en-GB"/>
              </w:rPr>
              <w:t xml:space="preserve"> </w:t>
            </w:r>
            <w:r w:rsidRPr="009A3ABB">
              <w:rPr>
                <w:highlight w:val="green"/>
              </w:rPr>
              <w:t xml:space="preserve">if </w:t>
            </w:r>
            <w:r>
              <w:rPr>
                <w:highlight w:val="green"/>
              </w:rPr>
              <w:t xml:space="preserve">the </w:t>
            </w:r>
            <w:r w:rsidRPr="009A3ABB">
              <w:rPr>
                <w:highlight w:val="green"/>
              </w:rPr>
              <w:t xml:space="preserve">appropriate cacheability and shareability attributes </w:t>
            </w:r>
            <w:r>
              <w:rPr>
                <w:highlight w:val="green"/>
              </w:rPr>
              <w:t>have been</w:t>
            </w:r>
            <w:r w:rsidRPr="009A3ABB">
              <w:rPr>
                <w:highlight w:val="green"/>
              </w:rPr>
              <w:t xml:space="preserve"> </w:t>
            </w:r>
            <w:r w:rsidRPr="00E76856">
              <w:rPr>
                <w:highlight w:val="green"/>
              </w:rPr>
              <w:t>configured in the Redistributors.</w:t>
            </w:r>
          </w:p>
          <w:p w14:paraId="3FA60CDF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60488F51" w14:textId="77777777" w:rsidR="00C47BD5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 xml:space="preserve">0x1: </w:t>
            </w:r>
            <w:r w:rsidRPr="00E76856">
              <w:rPr>
                <w:highlight w:val="green"/>
                <w:lang w:eastAsia="en-GB"/>
              </w:rPr>
              <w:t xml:space="preserve">The Redistributors are </w:t>
            </w:r>
            <w:r w:rsidRPr="001A3B57">
              <w:rPr>
                <w:highlight w:val="green"/>
                <w:lang w:eastAsia="en-GB"/>
              </w:rPr>
              <w:t>not coherent. OSPM needs to perform cache maintenance on the associated tables in memory.</w:t>
            </w:r>
          </w:p>
          <w:p w14:paraId="5AAEFB21" w14:textId="77777777" w:rsidR="00C47BD5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05E4FFA0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E76856">
              <w:rPr>
                <w:highlight w:val="green"/>
                <w:lang w:eastAsia="en-GB"/>
              </w:rPr>
              <w:t>Note: If there are multiple GICR structures present in MADT, then all the GICR structures must have the same value for this flag.</w:t>
            </w:r>
          </w:p>
        </w:tc>
      </w:tr>
      <w:tr w:rsidR="00C47BD5" w14:paraId="504FD0D5" w14:textId="77777777" w:rsidTr="0037557C">
        <w:trPr>
          <w:cantSplit/>
        </w:trPr>
        <w:tc>
          <w:tcPr>
            <w:tcW w:w="1089" w:type="dxa"/>
            <w:shd w:val="clear" w:color="auto" w:fill="auto"/>
          </w:tcPr>
          <w:p w14:paraId="5D927A54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Reserved</w:t>
            </w:r>
          </w:p>
        </w:tc>
        <w:tc>
          <w:tcPr>
            <w:tcW w:w="993" w:type="dxa"/>
            <w:shd w:val="clear" w:color="auto" w:fill="auto"/>
          </w:tcPr>
          <w:p w14:paraId="576BCEB7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5DE63964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1</w:t>
            </w:r>
          </w:p>
        </w:tc>
        <w:tc>
          <w:tcPr>
            <w:tcW w:w="4848" w:type="dxa"/>
            <w:shd w:val="clear" w:color="auto" w:fill="auto"/>
          </w:tcPr>
          <w:p w14:paraId="64349548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Must be zero.</w:t>
            </w:r>
          </w:p>
        </w:tc>
      </w:tr>
    </w:tbl>
    <w:p w14:paraId="210B67E1" w14:textId="77777777" w:rsidR="00C47BD5" w:rsidRDefault="00C47BD5" w:rsidP="00C47BD5">
      <w:pPr>
        <w:spacing w:before="120"/>
        <w:rPr>
          <w:rStyle w:val="SC11114701"/>
        </w:rPr>
      </w:pPr>
    </w:p>
    <w:p w14:paraId="05D03216" w14:textId="77777777" w:rsidR="00202F94" w:rsidRDefault="00202F94" w:rsidP="00C47BD5">
      <w:pPr>
        <w:spacing w:before="120"/>
        <w:rPr>
          <w:rStyle w:val="SC11114701"/>
        </w:rPr>
      </w:pPr>
    </w:p>
    <w:p w14:paraId="30A6AA5A" w14:textId="77777777" w:rsidR="00202F94" w:rsidRDefault="00202F94" w:rsidP="00C47BD5">
      <w:pPr>
        <w:spacing w:before="120"/>
        <w:rPr>
          <w:rStyle w:val="SC11114701"/>
        </w:rPr>
      </w:pPr>
    </w:p>
    <w:p w14:paraId="4D9CD6D0" w14:textId="77777777" w:rsidR="00C47BD5" w:rsidRPr="007D7170" w:rsidRDefault="00C47BD5" w:rsidP="00C47BD5">
      <w:pPr>
        <w:spacing w:before="120"/>
        <w:rPr>
          <w:rStyle w:val="SC11114701"/>
          <w:sz w:val="24"/>
          <w:szCs w:val="24"/>
        </w:rPr>
      </w:pPr>
      <w:r w:rsidRPr="007D7170">
        <w:rPr>
          <w:rStyle w:val="SC11114701"/>
          <w:sz w:val="24"/>
          <w:szCs w:val="24"/>
        </w:rPr>
        <w:t>Table 5.42: GIC ITS Structure</w:t>
      </w:r>
    </w:p>
    <w:tbl>
      <w:tblPr>
        <w:tblW w:w="789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560"/>
        <w:gridCol w:w="1275"/>
        <w:gridCol w:w="3608"/>
      </w:tblGrid>
      <w:tr w:rsidR="00C47BD5" w14:paraId="3872C12D" w14:textId="77777777" w:rsidTr="0037557C">
        <w:trPr>
          <w:cantSplit/>
          <w:trHeight w:val="52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E9CC9F" w14:textId="77777777" w:rsidR="00C47BD5" w:rsidRDefault="00C47BD5" w:rsidP="0037557C">
            <w:pPr>
              <w:spacing w:after="0"/>
              <w:jc w:val="both"/>
            </w:pPr>
            <w:r w:rsidRPr="001A3B57">
              <w:rPr>
                <w:rFonts w:ascii="Arial-BoldMT" w:hAnsi="Arial-BoldMT"/>
                <w:b/>
                <w:bCs/>
                <w:color w:val="000000"/>
                <w:sz w:val="28"/>
                <w:szCs w:val="28"/>
              </w:rPr>
              <w:tab/>
            </w:r>
            <w:r w:rsidRPr="001A3B57">
              <w:rPr>
                <w:bCs/>
              </w:rPr>
              <w:t>Field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BA82E" w14:textId="77777777" w:rsidR="00C47BD5" w:rsidRPr="001A3B57" w:rsidRDefault="00C47BD5" w:rsidP="0037557C">
            <w:pPr>
              <w:spacing w:after="0"/>
              <w:jc w:val="both"/>
              <w:rPr>
                <w:bCs/>
                <w:color w:val="0000FF"/>
              </w:rPr>
            </w:pPr>
            <w:r w:rsidRPr="001A3B57">
              <w:rPr>
                <w:bCs/>
              </w:rPr>
              <w:t>Byte Length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FE44C" w14:textId="77777777" w:rsidR="00C47BD5" w:rsidRPr="001A3B57" w:rsidRDefault="00C47BD5" w:rsidP="0037557C">
            <w:pPr>
              <w:spacing w:after="0"/>
              <w:jc w:val="both"/>
              <w:rPr>
                <w:bCs/>
                <w:color w:val="0000FF"/>
              </w:rPr>
            </w:pPr>
            <w:r w:rsidRPr="001A3B57">
              <w:rPr>
                <w:bCs/>
              </w:rPr>
              <w:t>Byte Offset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F60D8D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Description</w:t>
            </w:r>
          </w:p>
        </w:tc>
      </w:tr>
      <w:tr w:rsidR="00C47BD5" w14:paraId="4C902472" w14:textId="77777777" w:rsidTr="0037557C">
        <w:trPr>
          <w:cantSplit/>
          <w:trHeight w:val="269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9A4DB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6204D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21365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0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EF955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0xF GIC ITS Structure</w:t>
            </w:r>
          </w:p>
        </w:tc>
      </w:tr>
      <w:tr w:rsidR="00C47BD5" w14:paraId="10D504D9" w14:textId="77777777" w:rsidTr="0037557C">
        <w:trPr>
          <w:cantSplit/>
          <w:trHeight w:val="269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2F8EA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Length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3F822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302FF" w14:textId="77777777" w:rsidR="00C47BD5" w:rsidRPr="00CB5ECD" w:rsidRDefault="00C47BD5" w:rsidP="0037557C">
            <w:pPr>
              <w:spacing w:after="0"/>
              <w:jc w:val="both"/>
            </w:pPr>
            <w:r>
              <w:t>1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6D7E4" w14:textId="77777777" w:rsidR="00C47BD5" w:rsidRPr="00CB5ECD" w:rsidRDefault="00C47BD5" w:rsidP="0037557C">
            <w:pPr>
              <w:spacing w:after="0"/>
              <w:jc w:val="both"/>
            </w:pPr>
            <w:r>
              <w:t>20</w:t>
            </w:r>
          </w:p>
        </w:tc>
      </w:tr>
      <w:tr w:rsidR="00C47BD5" w14:paraId="282449CF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7A317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Flags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89448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D495A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2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3C834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See GIC ITS Flags</w:t>
            </w:r>
          </w:p>
        </w:tc>
      </w:tr>
      <w:tr w:rsidR="00C47BD5" w14:paraId="49D620C6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58A7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Reserved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5B8F6" w14:textId="77777777" w:rsidR="00C47BD5" w:rsidRPr="00CB5ECD" w:rsidRDefault="00C47BD5" w:rsidP="0037557C">
            <w:pPr>
              <w:spacing w:after="0"/>
              <w:jc w:val="both"/>
            </w:pPr>
            <w:r w:rsidRPr="001A3B57">
              <w:rPr>
                <w:strike/>
                <w:highlight w:val="red"/>
              </w:rPr>
              <w:t>2</w:t>
            </w:r>
            <w:r>
              <w:t xml:space="preserve"> </w:t>
            </w:r>
            <w:r w:rsidRPr="00D76251">
              <w:rPr>
                <w:highlight w:val="gree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59B57" w14:textId="77777777" w:rsidR="00C47BD5" w:rsidRPr="00CB5ECD" w:rsidRDefault="00C47BD5" w:rsidP="0037557C">
            <w:pPr>
              <w:spacing w:after="0"/>
              <w:jc w:val="both"/>
            </w:pPr>
            <w:r w:rsidRPr="001A3B57">
              <w:rPr>
                <w:strike/>
                <w:highlight w:val="red"/>
              </w:rPr>
              <w:t>2</w:t>
            </w:r>
            <w:r>
              <w:t xml:space="preserve"> </w:t>
            </w:r>
            <w:r w:rsidRPr="00D76251">
              <w:rPr>
                <w:highlight w:val="green"/>
              </w:rPr>
              <w:t>3</w:t>
            </w: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560F9" w14:textId="77777777" w:rsidR="00C47BD5" w:rsidRPr="00CB5ECD" w:rsidRDefault="00C47BD5" w:rsidP="0037557C">
            <w:pPr>
              <w:spacing w:after="0"/>
              <w:jc w:val="both"/>
            </w:pPr>
            <w:r>
              <w:t>Reserved – Must be Zero</w:t>
            </w:r>
          </w:p>
        </w:tc>
      </w:tr>
      <w:tr w:rsidR="00C47BD5" w14:paraId="12328CAB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4308F" w14:textId="77777777" w:rsidR="00C47BD5" w:rsidRPr="00CB5ECD" w:rsidRDefault="00C47BD5" w:rsidP="0037557C">
            <w:pPr>
              <w:tabs>
                <w:tab w:val="left" w:pos="619"/>
              </w:tabs>
              <w:spacing w:after="0"/>
              <w:jc w:val="both"/>
            </w:pPr>
            <w:r>
              <w:t>GIC ITS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7B59E" w14:textId="77777777" w:rsidR="00C47BD5" w:rsidRPr="00CB5ECD" w:rsidRDefault="00C47BD5" w:rsidP="0037557C">
            <w:pPr>
              <w:spacing w:after="0"/>
              <w:jc w:val="both"/>
            </w:pPr>
            <w: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F35CE" w14:textId="77777777" w:rsidR="00C47BD5" w:rsidRPr="00CB5ECD" w:rsidRDefault="00C47BD5" w:rsidP="0037557C">
            <w:pPr>
              <w:spacing w:after="0"/>
              <w:jc w:val="both"/>
            </w:pPr>
            <w:r>
              <w:t>4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FFDA5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…</w:t>
            </w:r>
          </w:p>
        </w:tc>
      </w:tr>
      <w:tr w:rsidR="00C47BD5" w14:paraId="565BC253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B3AE9" w14:textId="77777777" w:rsidR="00C47BD5" w:rsidRDefault="00C47BD5" w:rsidP="0037557C">
            <w:pPr>
              <w:tabs>
                <w:tab w:val="left" w:pos="619"/>
              </w:tabs>
              <w:spacing w:after="0"/>
              <w:jc w:val="both"/>
            </w:pPr>
            <w:r>
              <w:t>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FDEBA" w14:textId="77777777" w:rsidR="00C47BD5" w:rsidRDefault="00C47BD5" w:rsidP="0037557C">
            <w:pPr>
              <w:spacing w:after="0"/>
              <w:jc w:val="both"/>
            </w:pPr>
            <w: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0567F" w14:textId="77777777" w:rsidR="00C47BD5" w:rsidRDefault="00C47BD5" w:rsidP="0037557C">
            <w:pPr>
              <w:spacing w:after="0"/>
              <w:jc w:val="both"/>
            </w:pPr>
            <w:r>
              <w:t>…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30036" w14:textId="77777777" w:rsidR="00C47BD5" w:rsidRPr="00CB5ECD" w:rsidRDefault="00C47BD5" w:rsidP="0037557C">
            <w:pPr>
              <w:spacing w:after="0"/>
              <w:jc w:val="both"/>
            </w:pPr>
            <w:r>
              <w:t>…</w:t>
            </w:r>
          </w:p>
        </w:tc>
      </w:tr>
    </w:tbl>
    <w:p w14:paraId="193AD886" w14:textId="77777777" w:rsidR="00C47BD5" w:rsidRDefault="00C47BD5" w:rsidP="00C47BD5">
      <w:pPr>
        <w:spacing w:before="120"/>
        <w:rPr>
          <w:rFonts w:ascii="Arial-BoldMT" w:hAnsi="Arial-BoldMT" w:hint="eastAsia"/>
          <w:b/>
          <w:bCs/>
          <w:color w:val="000000"/>
          <w:sz w:val="28"/>
          <w:szCs w:val="28"/>
        </w:rPr>
      </w:pPr>
    </w:p>
    <w:p w14:paraId="01915584" w14:textId="77777777" w:rsidR="00C47BD5" w:rsidRPr="00EC7438" w:rsidRDefault="00C47BD5" w:rsidP="00C47BD5">
      <w:pPr>
        <w:spacing w:before="120"/>
        <w:rPr>
          <w:rStyle w:val="SC11114701"/>
          <w:sz w:val="24"/>
          <w:szCs w:val="24"/>
        </w:rPr>
      </w:pPr>
      <w:r w:rsidRPr="00EC7438">
        <w:rPr>
          <w:rStyle w:val="SC11114701"/>
          <w:sz w:val="24"/>
          <w:szCs w:val="24"/>
          <w:highlight w:val="green"/>
        </w:rPr>
        <w:t>Table 5.xx: GIC ITS Flags</w:t>
      </w:r>
    </w:p>
    <w:p w14:paraId="3F8A4B58" w14:textId="77777777" w:rsidR="00C47BD5" w:rsidRPr="002E3593" w:rsidRDefault="00C47BD5" w:rsidP="00C47BD5">
      <w:pPr>
        <w:spacing w:before="120"/>
        <w:rPr>
          <w:rStyle w:val="SC11114701"/>
        </w:rPr>
      </w:pPr>
    </w:p>
    <w:tbl>
      <w:tblPr>
        <w:tblW w:w="761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993"/>
        <w:gridCol w:w="992"/>
        <w:gridCol w:w="4536"/>
      </w:tblGrid>
      <w:tr w:rsidR="00C47BD5" w:rsidRPr="001A3B57" w14:paraId="0AA0A733" w14:textId="77777777" w:rsidTr="0037557C">
        <w:trPr>
          <w:cantSplit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79571F" w14:textId="77777777" w:rsidR="00C47BD5" w:rsidRPr="001A3B57" w:rsidRDefault="00C47BD5" w:rsidP="0037557C">
            <w:pPr>
              <w:spacing w:after="0"/>
              <w:rPr>
                <w:highlight w:val="green"/>
              </w:rPr>
            </w:pPr>
            <w:r w:rsidRPr="001A3B57">
              <w:rPr>
                <w:bCs/>
                <w:highlight w:val="green"/>
              </w:rPr>
              <w:t>GIC ITS Flags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1011A2" w14:textId="77777777" w:rsidR="00C47BD5" w:rsidRPr="001A3B57" w:rsidRDefault="00C47BD5" w:rsidP="0037557C">
            <w:pPr>
              <w:spacing w:after="0"/>
              <w:rPr>
                <w:bCs/>
                <w:color w:val="0000FF"/>
                <w:highlight w:val="green"/>
              </w:rPr>
            </w:pPr>
            <w:r w:rsidRPr="001A3B57">
              <w:rPr>
                <w:bCs/>
                <w:highlight w:val="green"/>
              </w:rPr>
              <w:t>Bit Length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8157BC" w14:textId="77777777" w:rsidR="00C47BD5" w:rsidRPr="001A3B57" w:rsidRDefault="00C47BD5" w:rsidP="0037557C">
            <w:pPr>
              <w:spacing w:after="0"/>
              <w:rPr>
                <w:bCs/>
                <w:color w:val="0000FF"/>
                <w:highlight w:val="green"/>
              </w:rPr>
            </w:pPr>
            <w:r w:rsidRPr="001A3B57">
              <w:rPr>
                <w:bCs/>
                <w:highlight w:val="green"/>
              </w:rPr>
              <w:t>Bit Offset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0F7FA5" w14:textId="77777777" w:rsidR="00C47BD5" w:rsidRPr="001A3B57" w:rsidRDefault="00C47BD5" w:rsidP="0037557C">
            <w:pPr>
              <w:spacing w:after="0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Description</w:t>
            </w:r>
          </w:p>
        </w:tc>
      </w:tr>
      <w:tr w:rsidR="00C47BD5" w:rsidRPr="00F173DC" w14:paraId="3DB805DE" w14:textId="77777777" w:rsidTr="0037557C">
        <w:trPr>
          <w:cantSplit/>
        </w:trPr>
        <w:tc>
          <w:tcPr>
            <w:tcW w:w="1089" w:type="dxa"/>
            <w:shd w:val="clear" w:color="auto" w:fill="auto"/>
          </w:tcPr>
          <w:p w14:paraId="503B033A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GIC ITS Non-coherent</w:t>
            </w:r>
          </w:p>
        </w:tc>
        <w:tc>
          <w:tcPr>
            <w:tcW w:w="993" w:type="dxa"/>
            <w:shd w:val="clear" w:color="auto" w:fill="auto"/>
          </w:tcPr>
          <w:p w14:paraId="02F7AEA7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2F3E354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1165033C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rFonts w:ascii="Calibri" w:hAnsi="Calibri" w:cs="Calibri"/>
                <w:highlight w:val="green"/>
                <w:lang w:eastAsia="en-GB"/>
              </w:rPr>
              <w:t>﻿</w:t>
            </w:r>
            <w:r>
              <w:rPr>
                <w:rFonts w:ascii="Calibri" w:hAnsi="Calibri" w:cs="Calibri"/>
                <w:highlight w:val="green"/>
                <w:lang w:eastAsia="en-GB"/>
              </w:rPr>
              <w:t>T</w:t>
            </w:r>
            <w:r w:rsidRPr="001A3B57">
              <w:rPr>
                <w:highlight w:val="green"/>
                <w:lang w:eastAsia="en-GB"/>
              </w:rPr>
              <w:t xml:space="preserve">his field specifies if the associated GIC ITS is cache coherent with the CPU. The values for this flag are: </w:t>
            </w:r>
          </w:p>
          <w:p w14:paraId="6B39C69F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2285B9F3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0x0: This ITS is fully coherent. OSPM does not need to perform any Cache Maintenance on the associated tables in memory</w:t>
            </w:r>
            <w:r>
              <w:rPr>
                <w:highlight w:val="green"/>
                <w:lang w:eastAsia="en-GB"/>
              </w:rPr>
              <w:t xml:space="preserve"> </w:t>
            </w:r>
            <w:r w:rsidRPr="009A3ABB">
              <w:rPr>
                <w:highlight w:val="green"/>
              </w:rPr>
              <w:t xml:space="preserve">if </w:t>
            </w:r>
            <w:r>
              <w:rPr>
                <w:highlight w:val="green"/>
              </w:rPr>
              <w:t xml:space="preserve">the </w:t>
            </w:r>
            <w:r w:rsidRPr="009A3ABB">
              <w:rPr>
                <w:highlight w:val="green"/>
              </w:rPr>
              <w:t xml:space="preserve">appropriate cacheability and shareability attributes </w:t>
            </w:r>
            <w:r>
              <w:rPr>
                <w:highlight w:val="green"/>
              </w:rPr>
              <w:t>have been</w:t>
            </w:r>
            <w:r w:rsidRPr="009A3ABB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>configured in the ITS.</w:t>
            </w:r>
          </w:p>
          <w:p w14:paraId="7F3B603D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66694E5D" w14:textId="77777777" w:rsidR="00C47BD5" w:rsidRDefault="00C47BD5" w:rsidP="00D76251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0x1: This ITS is not coherent. OSPM needs to perform cache maintenance on the associated tables in memory.</w:t>
            </w:r>
          </w:p>
          <w:p w14:paraId="140277BB" w14:textId="1C9075BB" w:rsidR="00F03A89" w:rsidRPr="001A3B57" w:rsidRDefault="00F03A89" w:rsidP="00D76251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</w:tc>
      </w:tr>
      <w:tr w:rsidR="00C47BD5" w14:paraId="45973B6A" w14:textId="77777777" w:rsidTr="0037557C">
        <w:trPr>
          <w:cantSplit/>
          <w:trHeight w:val="289"/>
        </w:trPr>
        <w:tc>
          <w:tcPr>
            <w:tcW w:w="1089" w:type="dxa"/>
            <w:shd w:val="clear" w:color="auto" w:fill="auto"/>
          </w:tcPr>
          <w:p w14:paraId="57C5F3AF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Reserved</w:t>
            </w:r>
          </w:p>
        </w:tc>
        <w:tc>
          <w:tcPr>
            <w:tcW w:w="993" w:type="dxa"/>
            <w:shd w:val="clear" w:color="auto" w:fill="auto"/>
          </w:tcPr>
          <w:p w14:paraId="602258D7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20B708E6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28DD1C66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Must be zero.</w:t>
            </w:r>
          </w:p>
        </w:tc>
      </w:tr>
    </w:tbl>
    <w:p w14:paraId="55CF1A7D" w14:textId="77777777" w:rsidR="00C47BD5" w:rsidRDefault="00C47BD5" w:rsidP="00C47BD5"/>
    <w:p w14:paraId="704C24C0" w14:textId="77777777" w:rsidR="00C47BD5" w:rsidRPr="009728A6" w:rsidRDefault="00C47BD5" w:rsidP="00C47BD5">
      <w:pPr>
        <w:pStyle w:val="ListParagraph"/>
        <w:rPr>
          <w:rFonts w:cs="Helvetica"/>
          <w:bCs/>
          <w:sz w:val="20"/>
          <w:szCs w:val="20"/>
        </w:rPr>
      </w:pPr>
    </w:p>
    <w:sectPr w:rsidR="00C47BD5" w:rsidRPr="0097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56B5" w14:textId="77777777" w:rsidR="00B57E3C" w:rsidRDefault="00B57E3C" w:rsidP="001668E2">
      <w:pPr>
        <w:spacing w:after="0" w:line="240" w:lineRule="auto"/>
      </w:pPr>
      <w:r>
        <w:separator/>
      </w:r>
    </w:p>
  </w:endnote>
  <w:endnote w:type="continuationSeparator" w:id="0">
    <w:p w14:paraId="49C23DCB" w14:textId="77777777" w:rsidR="00B57E3C" w:rsidRDefault="00B57E3C" w:rsidP="0016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-BoldMT">
    <w:altName w:val="Times New Roman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C3D8" w14:textId="77777777" w:rsidR="00B57E3C" w:rsidRDefault="00B57E3C" w:rsidP="001668E2">
      <w:pPr>
        <w:spacing w:after="0" w:line="240" w:lineRule="auto"/>
      </w:pPr>
      <w:r>
        <w:separator/>
      </w:r>
    </w:p>
  </w:footnote>
  <w:footnote w:type="continuationSeparator" w:id="0">
    <w:p w14:paraId="17A15EA0" w14:textId="77777777" w:rsidR="00B57E3C" w:rsidRDefault="00B57E3C" w:rsidP="00166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15CA"/>
    <w:multiLevelType w:val="hybridMultilevel"/>
    <w:tmpl w:val="47144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696E25"/>
    <w:multiLevelType w:val="hybridMultilevel"/>
    <w:tmpl w:val="709E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F0F52"/>
    <w:multiLevelType w:val="hybridMultilevel"/>
    <w:tmpl w:val="CA42C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A3F59"/>
    <w:multiLevelType w:val="hybridMultilevel"/>
    <w:tmpl w:val="D16A6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409293">
    <w:abstractNumId w:val="0"/>
  </w:num>
  <w:num w:numId="2" w16cid:durableId="2023975042">
    <w:abstractNumId w:val="9"/>
  </w:num>
  <w:num w:numId="3" w16cid:durableId="1574467752">
    <w:abstractNumId w:val="0"/>
  </w:num>
  <w:num w:numId="4" w16cid:durableId="1612131205">
    <w:abstractNumId w:val="2"/>
  </w:num>
  <w:num w:numId="5" w16cid:durableId="1817261166">
    <w:abstractNumId w:val="7"/>
  </w:num>
  <w:num w:numId="6" w16cid:durableId="15274743">
    <w:abstractNumId w:val="6"/>
  </w:num>
  <w:num w:numId="7" w16cid:durableId="1241677675">
    <w:abstractNumId w:val="3"/>
  </w:num>
  <w:num w:numId="8" w16cid:durableId="9294619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39391108">
    <w:abstractNumId w:val="4"/>
  </w:num>
  <w:num w:numId="10" w16cid:durableId="1019238307">
    <w:abstractNumId w:val="5"/>
  </w:num>
  <w:num w:numId="11" w16cid:durableId="865094520">
    <w:abstractNumId w:val="8"/>
  </w:num>
  <w:num w:numId="12" w16cid:durableId="173704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3421A"/>
    <w:rsid w:val="00042E61"/>
    <w:rsid w:val="00051DAE"/>
    <w:rsid w:val="00054542"/>
    <w:rsid w:val="000578BB"/>
    <w:rsid w:val="00063E26"/>
    <w:rsid w:val="00073F23"/>
    <w:rsid w:val="0008207C"/>
    <w:rsid w:val="000B6A58"/>
    <w:rsid w:val="000C17B1"/>
    <w:rsid w:val="000D2516"/>
    <w:rsid w:val="000D746C"/>
    <w:rsid w:val="000E72ED"/>
    <w:rsid w:val="000F061F"/>
    <w:rsid w:val="001053DF"/>
    <w:rsid w:val="0010631B"/>
    <w:rsid w:val="00125724"/>
    <w:rsid w:val="00157E7D"/>
    <w:rsid w:val="001668E2"/>
    <w:rsid w:val="0019345F"/>
    <w:rsid w:val="00197D7A"/>
    <w:rsid w:val="001B735F"/>
    <w:rsid w:val="001D00EA"/>
    <w:rsid w:val="001D4E2A"/>
    <w:rsid w:val="001F4740"/>
    <w:rsid w:val="001F4DA1"/>
    <w:rsid w:val="001F5BD5"/>
    <w:rsid w:val="00202F94"/>
    <w:rsid w:val="00204D93"/>
    <w:rsid w:val="002075FB"/>
    <w:rsid w:val="0022434D"/>
    <w:rsid w:val="002429C1"/>
    <w:rsid w:val="00255BDB"/>
    <w:rsid w:val="00266F65"/>
    <w:rsid w:val="00277FAD"/>
    <w:rsid w:val="0028168F"/>
    <w:rsid w:val="002853AC"/>
    <w:rsid w:val="00292F1E"/>
    <w:rsid w:val="002D77D7"/>
    <w:rsid w:val="00325828"/>
    <w:rsid w:val="003330F2"/>
    <w:rsid w:val="0034371A"/>
    <w:rsid w:val="00347C16"/>
    <w:rsid w:val="003A77F9"/>
    <w:rsid w:val="003D30BE"/>
    <w:rsid w:val="003E4390"/>
    <w:rsid w:val="00403AA4"/>
    <w:rsid w:val="00406A4F"/>
    <w:rsid w:val="004149D6"/>
    <w:rsid w:val="004167D3"/>
    <w:rsid w:val="004206DE"/>
    <w:rsid w:val="00472172"/>
    <w:rsid w:val="00480BF7"/>
    <w:rsid w:val="00494688"/>
    <w:rsid w:val="004A37FE"/>
    <w:rsid w:val="004A6929"/>
    <w:rsid w:val="004C2421"/>
    <w:rsid w:val="004C4425"/>
    <w:rsid w:val="004E1013"/>
    <w:rsid w:val="005079BC"/>
    <w:rsid w:val="005216F7"/>
    <w:rsid w:val="0053052E"/>
    <w:rsid w:val="00543097"/>
    <w:rsid w:val="005437D5"/>
    <w:rsid w:val="005459F5"/>
    <w:rsid w:val="00553967"/>
    <w:rsid w:val="00553A78"/>
    <w:rsid w:val="00556A89"/>
    <w:rsid w:val="00561F33"/>
    <w:rsid w:val="00563B40"/>
    <w:rsid w:val="005852D5"/>
    <w:rsid w:val="005A4630"/>
    <w:rsid w:val="005B64C6"/>
    <w:rsid w:val="005E0E8E"/>
    <w:rsid w:val="005F09D3"/>
    <w:rsid w:val="00600F65"/>
    <w:rsid w:val="00602DDA"/>
    <w:rsid w:val="00612383"/>
    <w:rsid w:val="00626F66"/>
    <w:rsid w:val="0063194C"/>
    <w:rsid w:val="00642338"/>
    <w:rsid w:val="00643117"/>
    <w:rsid w:val="006551B3"/>
    <w:rsid w:val="00666796"/>
    <w:rsid w:val="00673D48"/>
    <w:rsid w:val="00675AAE"/>
    <w:rsid w:val="006E32AE"/>
    <w:rsid w:val="006E68AA"/>
    <w:rsid w:val="006F19AE"/>
    <w:rsid w:val="006F5608"/>
    <w:rsid w:val="006F7622"/>
    <w:rsid w:val="00705D30"/>
    <w:rsid w:val="00711E4F"/>
    <w:rsid w:val="007136D4"/>
    <w:rsid w:val="0071728A"/>
    <w:rsid w:val="0071768A"/>
    <w:rsid w:val="00726FA3"/>
    <w:rsid w:val="007362DF"/>
    <w:rsid w:val="00746324"/>
    <w:rsid w:val="007648BA"/>
    <w:rsid w:val="007656A6"/>
    <w:rsid w:val="00775EFE"/>
    <w:rsid w:val="0078556C"/>
    <w:rsid w:val="007A1554"/>
    <w:rsid w:val="007B32DF"/>
    <w:rsid w:val="007B60AB"/>
    <w:rsid w:val="007D7170"/>
    <w:rsid w:val="007E05EF"/>
    <w:rsid w:val="007E3D46"/>
    <w:rsid w:val="008153D4"/>
    <w:rsid w:val="008155DE"/>
    <w:rsid w:val="00831E20"/>
    <w:rsid w:val="008373EB"/>
    <w:rsid w:val="00842E3B"/>
    <w:rsid w:val="008D3A0A"/>
    <w:rsid w:val="008E1303"/>
    <w:rsid w:val="008E4038"/>
    <w:rsid w:val="008F4774"/>
    <w:rsid w:val="0090179C"/>
    <w:rsid w:val="0090206E"/>
    <w:rsid w:val="0091117D"/>
    <w:rsid w:val="00941557"/>
    <w:rsid w:val="0095724F"/>
    <w:rsid w:val="00961388"/>
    <w:rsid w:val="009619A6"/>
    <w:rsid w:val="00967A76"/>
    <w:rsid w:val="009728A6"/>
    <w:rsid w:val="00977176"/>
    <w:rsid w:val="00982F00"/>
    <w:rsid w:val="00987055"/>
    <w:rsid w:val="00995CAB"/>
    <w:rsid w:val="009B644A"/>
    <w:rsid w:val="009C790B"/>
    <w:rsid w:val="009D0947"/>
    <w:rsid w:val="009E058F"/>
    <w:rsid w:val="009E73DD"/>
    <w:rsid w:val="009F1941"/>
    <w:rsid w:val="009F4729"/>
    <w:rsid w:val="00A0231B"/>
    <w:rsid w:val="00A10F00"/>
    <w:rsid w:val="00A166F5"/>
    <w:rsid w:val="00A16E23"/>
    <w:rsid w:val="00A317FE"/>
    <w:rsid w:val="00A36053"/>
    <w:rsid w:val="00A51D6F"/>
    <w:rsid w:val="00A534E9"/>
    <w:rsid w:val="00A704DD"/>
    <w:rsid w:val="00A70962"/>
    <w:rsid w:val="00AA40ED"/>
    <w:rsid w:val="00AA4655"/>
    <w:rsid w:val="00AA5084"/>
    <w:rsid w:val="00AB30A0"/>
    <w:rsid w:val="00AB700B"/>
    <w:rsid w:val="00AC18B7"/>
    <w:rsid w:val="00B22965"/>
    <w:rsid w:val="00B511C2"/>
    <w:rsid w:val="00B57E3C"/>
    <w:rsid w:val="00B64753"/>
    <w:rsid w:val="00B72B6D"/>
    <w:rsid w:val="00B73C72"/>
    <w:rsid w:val="00B76300"/>
    <w:rsid w:val="00B9293A"/>
    <w:rsid w:val="00BA606B"/>
    <w:rsid w:val="00BC0158"/>
    <w:rsid w:val="00BD5A15"/>
    <w:rsid w:val="00BF7647"/>
    <w:rsid w:val="00C0293F"/>
    <w:rsid w:val="00C1052E"/>
    <w:rsid w:val="00C31DAA"/>
    <w:rsid w:val="00C3378B"/>
    <w:rsid w:val="00C368C6"/>
    <w:rsid w:val="00C47BD5"/>
    <w:rsid w:val="00C5786A"/>
    <w:rsid w:val="00C72F03"/>
    <w:rsid w:val="00C90438"/>
    <w:rsid w:val="00CB5AA2"/>
    <w:rsid w:val="00CC0DAE"/>
    <w:rsid w:val="00CC4EA8"/>
    <w:rsid w:val="00CD76E8"/>
    <w:rsid w:val="00CE0AB7"/>
    <w:rsid w:val="00CF42F9"/>
    <w:rsid w:val="00D01936"/>
    <w:rsid w:val="00D02906"/>
    <w:rsid w:val="00D0595D"/>
    <w:rsid w:val="00D16761"/>
    <w:rsid w:val="00D61E83"/>
    <w:rsid w:val="00D7211F"/>
    <w:rsid w:val="00D76251"/>
    <w:rsid w:val="00D85D16"/>
    <w:rsid w:val="00D93421"/>
    <w:rsid w:val="00DB262E"/>
    <w:rsid w:val="00DC480D"/>
    <w:rsid w:val="00DE753C"/>
    <w:rsid w:val="00DF5406"/>
    <w:rsid w:val="00E00B7F"/>
    <w:rsid w:val="00E173C1"/>
    <w:rsid w:val="00E23792"/>
    <w:rsid w:val="00E30769"/>
    <w:rsid w:val="00E407B9"/>
    <w:rsid w:val="00E505E9"/>
    <w:rsid w:val="00E57EEB"/>
    <w:rsid w:val="00EA1972"/>
    <w:rsid w:val="00EB0B82"/>
    <w:rsid w:val="00EC236C"/>
    <w:rsid w:val="00EC7438"/>
    <w:rsid w:val="00ED24D1"/>
    <w:rsid w:val="00EF5457"/>
    <w:rsid w:val="00F03A89"/>
    <w:rsid w:val="00F1081D"/>
    <w:rsid w:val="00F2067B"/>
    <w:rsid w:val="00F26314"/>
    <w:rsid w:val="00F3770D"/>
    <w:rsid w:val="00F44720"/>
    <w:rsid w:val="00F7023B"/>
    <w:rsid w:val="00F72FFD"/>
    <w:rsid w:val="00F73D58"/>
    <w:rsid w:val="00F73ECF"/>
    <w:rsid w:val="00F743A5"/>
    <w:rsid w:val="00F97123"/>
    <w:rsid w:val="00FB4182"/>
    <w:rsid w:val="00F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1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9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E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E2"/>
    <w:rPr>
      <w:rFonts w:eastAsiaTheme="minorEastAsia"/>
      <w:lang w:eastAsia="zh-CN"/>
    </w:rPr>
  </w:style>
  <w:style w:type="paragraph" w:customStyle="1" w:styleId="Default">
    <w:name w:val="Default"/>
    <w:basedOn w:val="Normal"/>
    <w:rsid w:val="00666796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516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Souvik Chakravarty</cp:lastModifiedBy>
  <cp:revision>47</cp:revision>
  <dcterms:created xsi:type="dcterms:W3CDTF">2023-09-18T10:08:00Z</dcterms:created>
  <dcterms:modified xsi:type="dcterms:W3CDTF">2023-09-26T11:05:00Z</dcterms:modified>
</cp:coreProperties>
</file>