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17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56"/>
        <w:gridCol w:w="1670"/>
        <w:gridCol w:w="1483"/>
        <w:gridCol w:w="1092"/>
        <w:gridCol w:w="1207"/>
        <w:gridCol w:w="1190"/>
        <w:gridCol w:w="2197"/>
      </w:tblGrid>
      <w:tr w:rsidR="00F70981" w14:paraId="69E09BF5" w14:textId="77777777" w:rsidTr="00F70981">
        <w:tc>
          <w:tcPr>
            <w:tcW w:w="98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8A69" w14:textId="77777777" w:rsidR="00F70981" w:rsidRDefault="00F70981" w:rsidP="00F709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ATTRIBUTES</w:t>
            </w:r>
          </w:p>
        </w:tc>
      </w:tr>
      <w:tr w:rsidR="00F70981" w14:paraId="0FC11043" w14:textId="77777777" w:rsidTr="00F7098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0096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DN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5A9F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487B1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Property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64393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5A09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 Ind.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 Sel.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9D9DF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MDV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4 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083F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</w:tr>
      <w:tr w:rsidR="00F70981" w14:paraId="71C25D32" w14:textId="77777777" w:rsidTr="00F7098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96BB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0Ah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6D36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bRefClkFreq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6C09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Read 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Persistent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70AE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byte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AB420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 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D25A4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01h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BB47" w14:textId="77777777" w:rsidR="00F70981" w:rsidRDefault="00F70981" w:rsidP="00F70981">
            <w:pPr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Clock Frequency value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0h:19.2 MHz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1h: 26 MHz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2h: 38.4 MHz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3h: Obsolete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Others: Reserved</w:t>
            </w:r>
          </w:p>
        </w:tc>
      </w:tr>
      <w:tr w:rsidR="00F70981" w14:paraId="2BE43C98" w14:textId="77777777" w:rsidTr="00F70981">
        <w:tc>
          <w:tcPr>
            <w:tcW w:w="98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9711" w14:textId="77777777" w:rsidR="00F70981" w:rsidRDefault="00F70981" w:rsidP="00F70981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NOTE 1</w:t>
            </w:r>
            <w:r>
              <w:rPr>
                <w:rStyle w:val="fontstyle01"/>
                <w:b w:val="0"/>
                <w:bCs w:val="0"/>
              </w:rPr>
              <w:t>:</w:t>
            </w:r>
            <w:r>
              <w:rPr>
                <w:rStyle w:val="fontstyle01"/>
                <w:b w:val="0"/>
                <w:bCs w:val="0"/>
              </w:rPr>
              <w:t xml:space="preserve"> </w:t>
            </w:r>
          </w:p>
          <w:p w14:paraId="65AE63E5" w14:textId="7010A1FF" w:rsidR="00F70981" w:rsidRDefault="00F70981" w:rsidP="00F70981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The type “D” identifies a device level attribute, while the type “A” identifies an array of attributes. If Type = “D”, the attribute is addressed setting INDEX = 00h and SELECTOR = 00h.</w:t>
            </w:r>
          </w:p>
          <w:p w14:paraId="7262D2FA" w14:textId="77777777" w:rsidR="00F70981" w:rsidRDefault="00F70981" w:rsidP="00F70981">
            <w:pPr>
              <w:rPr>
                <w:rStyle w:val="fontstyle01"/>
                <w:b w:val="0"/>
                <w:bCs w:val="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  <w:b w:val="0"/>
                <w:bCs w:val="0"/>
              </w:rPr>
              <w:t>NOTE 2</w:t>
            </w:r>
            <w:r>
              <w:rPr>
                <w:rStyle w:val="fontstyle01"/>
                <w:b w:val="0"/>
                <w:bCs w:val="0"/>
              </w:rPr>
              <w:t>:</w:t>
            </w:r>
            <w:r>
              <w:rPr>
                <w:rStyle w:val="fontstyle01"/>
                <w:b w:val="0"/>
                <w:bCs w:val="0"/>
              </w:rPr>
              <w:t xml:space="preserve"> </w:t>
            </w:r>
          </w:p>
          <w:p w14:paraId="6866A646" w14:textId="77777777" w:rsidR="00F70981" w:rsidRDefault="00F70981" w:rsidP="00F70981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 xml:space="preserve">For array of attributes, “# Ind.” specifies the </w:t>
            </w:r>
            <w:proofErr w:type="gramStart"/>
            <w:r>
              <w:rPr>
                <w:rStyle w:val="fontstyle01"/>
                <w:b w:val="0"/>
                <w:bCs w:val="0"/>
              </w:rPr>
              <w:t>amount</w:t>
            </w:r>
            <w:proofErr w:type="gramEnd"/>
            <w:r>
              <w:rPr>
                <w:rStyle w:val="fontstyle01"/>
                <w:b w:val="0"/>
                <w:bCs w:val="0"/>
              </w:rPr>
              <w:t xml:space="preserve"> of valid values for the INDEX field in QUERY REQUEST/RESPONSE UPIU. If # Ind =0, the attribute is addressed setting INDEX = 00h.</w:t>
            </w:r>
          </w:p>
          <w:p w14:paraId="63E72AF1" w14:textId="77777777" w:rsidR="00F70981" w:rsidRDefault="00F70981" w:rsidP="00F70981">
            <w:pPr>
              <w:rPr>
                <w:rStyle w:val="fontstyle01"/>
                <w:b w:val="0"/>
                <w:bCs w:val="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  <w:b w:val="0"/>
                <w:bCs w:val="0"/>
              </w:rPr>
              <w:t>NOTE 3</w:t>
            </w:r>
            <w:r>
              <w:rPr>
                <w:rStyle w:val="fontstyle01"/>
                <w:b w:val="0"/>
                <w:bCs w:val="0"/>
              </w:rPr>
              <w:t>:</w:t>
            </w:r>
          </w:p>
          <w:p w14:paraId="33FCE160" w14:textId="77777777" w:rsidR="00F70981" w:rsidRDefault="00F70981" w:rsidP="00F70981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 xml:space="preserve">For array of attributes, “# Sel.” specifies the </w:t>
            </w:r>
            <w:proofErr w:type="gramStart"/>
            <w:r>
              <w:rPr>
                <w:rStyle w:val="fontstyle01"/>
                <w:b w:val="0"/>
                <w:bCs w:val="0"/>
              </w:rPr>
              <w:t>amount</w:t>
            </w:r>
            <w:proofErr w:type="gramEnd"/>
            <w:r>
              <w:rPr>
                <w:rStyle w:val="fontstyle01"/>
                <w:b w:val="0"/>
                <w:bCs w:val="0"/>
              </w:rPr>
              <w:t xml:space="preserve"> of valid values for the SELECTOR field in QUERY REQUEST/RESPONSE UPIU. If #Sel = 0, the attribute is addressed setting SELECTOR = 00h.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  <w:p w14:paraId="76E57A41" w14:textId="77777777" w:rsidR="00F70981" w:rsidRDefault="00F70981" w:rsidP="00F70981">
            <w:pPr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NOTE 4</w:t>
            </w:r>
            <w:r>
              <w:rPr>
                <w:rStyle w:val="fontstyle01"/>
                <w:b w:val="0"/>
                <w:bCs w:val="0"/>
              </w:rPr>
              <w:t>:</w:t>
            </w:r>
          </w:p>
          <w:p w14:paraId="487E2F2A" w14:textId="0C8C2148" w:rsidR="00F70981" w:rsidRDefault="00F70981" w:rsidP="00F70981">
            <w:r>
              <w:rPr>
                <w:rStyle w:val="fontstyle01"/>
                <w:b w:val="0"/>
                <w:bCs w:val="0"/>
              </w:rPr>
              <w:t>The column “MDV” (Manufacturer Default Value) specifies attribute values after device manufacturing.</w:t>
            </w:r>
          </w:p>
        </w:tc>
      </w:tr>
    </w:tbl>
    <w:p w14:paraId="138BBEE5" w14:textId="6DE76E8A" w:rsidR="00235925" w:rsidRDefault="00F70981">
      <w:pPr>
        <w:rPr>
          <w:b/>
          <w:bCs/>
        </w:rPr>
      </w:pPr>
      <w:r w:rsidRPr="00D61A5F">
        <w:rPr>
          <w:b/>
          <w:bCs/>
        </w:rPr>
        <w:t xml:space="preserve">Extract from JESD220 </w:t>
      </w:r>
      <w:r w:rsidRPr="00D61A5F">
        <w:rPr>
          <w:b/>
          <w:bCs/>
        </w:rPr>
        <w:t xml:space="preserve">JEDEC STANDARD Universal Flash Storage </w:t>
      </w:r>
      <w:r w:rsidRPr="00D61A5F">
        <w:rPr>
          <w:b/>
          <w:bCs/>
        </w:rPr>
        <w:t>(UFS)</w:t>
      </w:r>
    </w:p>
    <w:p w14:paraId="6288A801" w14:textId="2FA22294" w:rsidR="00D61A5F" w:rsidRDefault="00D61A5F">
      <w:pPr>
        <w:rPr>
          <w:b/>
          <w:bCs/>
        </w:rPr>
      </w:pPr>
    </w:p>
    <w:p w14:paraId="0DE1B0BB" w14:textId="77777777" w:rsidR="007E0BDE" w:rsidRDefault="007E0BDE" w:rsidP="007E0BDE">
      <w:pPr>
        <w:rPr>
          <w:b/>
          <w:bCs/>
        </w:rPr>
      </w:pPr>
      <w:r>
        <w:rPr>
          <w:b/>
          <w:bCs/>
        </w:rPr>
        <w:t>Design:</w:t>
      </w:r>
    </w:p>
    <w:p w14:paraId="2645B10E" w14:textId="77777777" w:rsidR="007E0BDE" w:rsidRPr="00D61A5F" w:rsidRDefault="007E0BDE" w:rsidP="007E0BDE">
      <w:proofErr w:type="spellStart"/>
      <w:r w:rsidRPr="00D61A5F">
        <w:t>bRefClkFreq</w:t>
      </w:r>
      <w:proofErr w:type="spellEnd"/>
      <w:r w:rsidRPr="00D61A5F">
        <w:t xml:space="preserve"> attribute indicates to the device the frequency of the REF_CLK signal, and its default value corresponds to 26 MHz as per the MDV value of the UFS card, </w:t>
      </w:r>
      <w:r>
        <w:t>a</w:t>
      </w:r>
      <w:r w:rsidRPr="00D61A5F">
        <w:t>nd hence different UFS host systems may set to different value based on their system environment.</w:t>
      </w:r>
    </w:p>
    <w:p w14:paraId="5AA625A0" w14:textId="77777777" w:rsidR="007E0BDE" w:rsidRDefault="007E0BDE" w:rsidP="007E0BDE">
      <w:pPr>
        <w:tabs>
          <w:tab w:val="num" w:pos="720"/>
        </w:tabs>
      </w:pPr>
      <w:r w:rsidRPr="00D61A5F">
        <w:t xml:space="preserve">This require </w:t>
      </w:r>
      <w:r>
        <w:t>EDKII UFS pass through driver (</w:t>
      </w:r>
      <w:proofErr w:type="spellStart"/>
      <w:r w:rsidRPr="009045C1">
        <w:t>MdeModulePkg</w:t>
      </w:r>
      <w:proofErr w:type="spellEnd"/>
      <w:r w:rsidRPr="009045C1">
        <w:t>/Bus/</w:t>
      </w:r>
      <w:proofErr w:type="spellStart"/>
      <w:r w:rsidRPr="009045C1">
        <w:t>Ufs</w:t>
      </w:r>
      <w:proofErr w:type="spellEnd"/>
      <w:r w:rsidRPr="009045C1">
        <w:t>/</w:t>
      </w:r>
      <w:proofErr w:type="spellStart"/>
      <w:r w:rsidRPr="009045C1">
        <w:t>UfsPassThruDxe</w:t>
      </w:r>
      <w:proofErr w:type="spellEnd"/>
      <w:r>
        <w:t xml:space="preserve">) to receive the input from </w:t>
      </w:r>
      <w:r w:rsidR="00D61A5F" w:rsidRPr="00D61A5F">
        <w:t xml:space="preserve">EDKII_UFS_HC_PLATFORM_PROTOCOL/ </w:t>
      </w:r>
      <w:proofErr w:type="spellStart"/>
      <w:r w:rsidR="00D61A5F" w:rsidRPr="00D61A5F">
        <w:t>gEdkiiUfsHcPlatformProtocolGuid</w:t>
      </w:r>
      <w:proofErr w:type="spellEnd"/>
      <w:r>
        <w:t xml:space="preserve"> before it checks and programs. Also, this need to be done before </w:t>
      </w:r>
      <w:r w:rsidR="00D61A5F" w:rsidRPr="00D61A5F">
        <w:t>EDKII_UFS_HC_PLATFORM_PROTOCOL</w:t>
      </w:r>
      <w:r>
        <w:t xml:space="preserve"> switches to higher gears.</w:t>
      </w:r>
    </w:p>
    <w:p w14:paraId="5EB55D02" w14:textId="721E4248" w:rsidR="00D61A5F" w:rsidRPr="00D61A5F" w:rsidRDefault="00D61A5F" w:rsidP="009045C1">
      <w:pPr>
        <w:tabs>
          <w:tab w:val="num" w:pos="720"/>
        </w:tabs>
      </w:pPr>
    </w:p>
    <w:sectPr w:rsidR="00D61A5F" w:rsidRPr="00D6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70C9"/>
    <w:multiLevelType w:val="hybridMultilevel"/>
    <w:tmpl w:val="1A9AD9D2"/>
    <w:lvl w:ilvl="0" w:tplc="CB9E1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A6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AC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8F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4C2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40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C8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4F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2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F0"/>
    <w:rsid w:val="00117161"/>
    <w:rsid w:val="001502D9"/>
    <w:rsid w:val="00263BF0"/>
    <w:rsid w:val="00644B12"/>
    <w:rsid w:val="007E0BDE"/>
    <w:rsid w:val="009045C1"/>
    <w:rsid w:val="00B72C72"/>
    <w:rsid w:val="00B9275A"/>
    <w:rsid w:val="00D61A5F"/>
    <w:rsid w:val="00F65ADE"/>
    <w:rsid w:val="00F70981"/>
    <w:rsid w:val="00FE73A7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0305"/>
  <w15:chartTrackingRefBased/>
  <w15:docId w15:val="{45EFB84D-256D-48FB-95E0-381513E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81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70981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Purna Chandra Rao</dc:creator>
  <cp:keywords/>
  <dc:description/>
  <cp:lastModifiedBy>Bandaru, Purna Chandra Rao</cp:lastModifiedBy>
  <cp:revision>4</cp:revision>
  <dcterms:created xsi:type="dcterms:W3CDTF">2022-02-28T05:59:00Z</dcterms:created>
  <dcterms:modified xsi:type="dcterms:W3CDTF">2022-02-28T06:12:00Z</dcterms:modified>
</cp:coreProperties>
</file>