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6E420">
      <w:pPr>
        <w:spacing w:after="60"/>
      </w:pPr>
      <w:r>
        <w:rPr>
          <w:rFonts w:ascii="Arial Unicode MS" w:hAnsi="Arial Unicode MS" w:eastAsia="Arial Unicode MS"/>
          <w:b/>
          <w:color w:val="0B2545"/>
          <w:sz w:val="48"/>
        </w:rPr>
        <w:t>金融客户场景与评测方案</w:t>
      </w:r>
    </w:p>
    <w:p w14:paraId="5CE76F87">
      <w:pPr>
        <w:spacing w:after="280"/>
      </w:pPr>
      <w:r>
        <w:rPr>
          <w:rFonts w:ascii="Arial Unicode MS" w:hAnsi="Arial Unicode MS" w:eastAsia="Arial Unicode MS"/>
          <w:color w:val="5C6670"/>
          <w:sz w:val="24"/>
        </w:rPr>
        <w:t>精简 Word 版 · 面向 Onto Pro 第一批金融客户落地</w:t>
      </w:r>
    </w:p>
    <w:p w14:paraId="366E3F64">
      <w:pPr>
        <w:spacing w:after="360"/>
      </w:pPr>
      <w:r>
        <w:rPr>
          <w:rFonts w:ascii="Arial Unicode MS" w:hAnsi="Arial Unicode MS" w:eastAsia="Arial Unicode MS"/>
          <w:color w:val="5C6670"/>
          <w:sz w:val="20"/>
        </w:rPr>
        <w:t>版本：v0.2  |  日期：2026年6月2日  |  范围：需求与设计文档</w:t>
      </w:r>
    </w:p>
    <w:p w14:paraId="1C60E2CF">
      <w:pPr>
        <w:pStyle w:val="3"/>
      </w:pPr>
      <w:bookmarkStart w:id="0" w:name="_GoBack"/>
      <w:bookmarkEnd w:id="0"/>
      <w:r>
        <w:t>一、核心结论</w:t>
      </w:r>
    </w:p>
    <w:p w14:paraId="49E71301">
      <w:pPr>
        <w:pStyle w:val="16"/>
      </w:pPr>
      <w:r>
        <w:rPr>
          <w:rFonts w:ascii="Arial Unicode MS" w:hAnsi="Arial Unicode MS" w:eastAsia="Arial Unicode MS"/>
        </w:rPr>
        <w:t>客户最需要的不是单纯流程图谱，而是能把项目材料转成可审计业务语义层的 AI 工作台。</w:t>
      </w:r>
    </w:p>
    <w:p w14:paraId="6D290AC6">
      <w:pPr>
        <w:pStyle w:val="16"/>
      </w:pPr>
      <w:r>
        <w:rPr>
          <w:rFonts w:ascii="Arial Unicode MS" w:hAnsi="Arial Unicode MS" w:eastAsia="Arial Unicode MS"/>
        </w:rPr>
        <w:t>第一批 MVP 建议围绕租赁闭环展开：材料归档、尽调风控、合同一致性、放款前置、上会问答。</w:t>
      </w:r>
    </w:p>
    <w:p w14:paraId="47AC4851">
      <w:pPr>
        <w:pStyle w:val="16"/>
      </w:pPr>
      <w:r>
        <w:rPr>
          <w:rFonts w:ascii="Arial Unicode MS" w:hAnsi="Arial Unicode MS" w:eastAsia="Arial Unicode MS"/>
        </w:rPr>
        <w:t>评测重点应放在“解析到第几层开始失真”：L0-L4 要稳定，L5 是第一批核心边界，L6-L7 以辅助决策方式探索。</w:t>
      </w:r>
    </w:p>
    <w:p w14:paraId="6807206C">
      <w:pPr>
        <w:pStyle w:val="16"/>
      </w:pPr>
      <w:r>
        <w:rPr>
          <w:rFonts w:ascii="Arial Unicode MS" w:hAnsi="Arial Unicode MS" w:eastAsia="Arial Unicode MS"/>
        </w:rPr>
        <w:t>每次模型输出都必须带证据、规则、工具结果和不确定性说明，避免把自由问答误当业务判断。</w:t>
      </w:r>
    </w:p>
    <w:p w14:paraId="7A32DDC2">
      <w:pPr>
        <w:pStyle w:val="3"/>
      </w:pPr>
      <w:r>
        <w:t>二、客户业务语义重心</w:t>
      </w:r>
    </w:p>
    <w:p w14:paraId="15D23CB3">
      <w:r>
        <w:t>客户已有或正在建设流程、台账、报表、合同流转和权限审计系统。Onto Pro 的定位应放在这些系统旁边，作为项目级 AI 语义操作层：读取材料、构造对象关系、激活规则、调用工具、输出证据化结论，并把专家反馈回写为规则和评测用例。</w:t>
      </w:r>
    </w:p>
    <w:tbl>
      <w:tblPr>
        <w:tblStyle w:val="33"/>
        <w:tblW w:w="10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900"/>
        <w:gridCol w:w="4860"/>
      </w:tblGrid>
      <w:tr w14:paraId="3E461CD7"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7F5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语义层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89E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需要表达的内容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A1A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平台价值</w:t>
            </w:r>
          </w:p>
        </w:tc>
      </w:tr>
      <w:tr w14:paraId="76B0FB6F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E9E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业务对象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69C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项目、客户、合同、发票、应收账款、租赁物、抵押物、还款计划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F13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让材料能进入统一对象模型</w:t>
            </w:r>
          </w:p>
        </w:tc>
      </w:tr>
      <w:tr w14:paraId="565DDF9A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18D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业务状态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766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立项、尽调、审批、签署、登记、放款、还款、逾期、结清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503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支持门控、追踪和状态判断</w:t>
            </w:r>
          </w:p>
        </w:tc>
      </w:tr>
      <w:tr w14:paraId="3415A513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283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规则指标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BAEA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风控、额度、放款前置、合同条款、材料完整性、财务指标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1BA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把制度变成可评测原子规则</w:t>
            </w:r>
          </w:p>
        </w:tc>
      </w:tr>
      <w:tr w14:paraId="641E9F56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499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事件风险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77A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舆情、诉讼、查封、回款异常、担保失效、发票异常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A9D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支撑贷后预警和动态风险</w:t>
            </w:r>
          </w:p>
        </w:tc>
      </w:tr>
      <w:tr w14:paraId="43C26404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FE5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决策辅助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985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风险建议、上会摘要、分类建议、处置策略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0BC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形成有证据、有边界的业务建议</w:t>
            </w:r>
          </w:p>
        </w:tc>
      </w:tr>
    </w:tbl>
    <w:p w14:paraId="6B1589FD"/>
    <w:p w14:paraId="1440BE2B">
      <w:pPr>
        <w:pStyle w:val="3"/>
      </w:pPr>
      <w:r>
        <w:t>三、本体解析分层与失真观测</w:t>
      </w:r>
    </w:p>
    <w:p w14:paraId="56E9A7C0">
      <w:r>
        <w:t>统一用 L0-L7 观察能力边界。评测时不要只看最终答案，要定位失真发生在文档识别、字段抽取、关系建立、状态判断、规则激活、跨文档一致性、事件关联还是决策层。</w:t>
      </w:r>
    </w:p>
    <w:p w14:paraId="0D388580">
      <w:pPr>
        <w:jc w:val="center"/>
      </w:pPr>
      <w:r>
        <w:drawing>
          <wp:inline distT="0" distB="0" distL="114300" distR="114300">
            <wp:extent cx="5715000" cy="39484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3670">
      <w:pPr>
        <w:spacing w:after="200"/>
        <w:jc w:val="center"/>
      </w:pPr>
      <w:r>
        <w:rPr>
          <w:rFonts w:ascii="Arial Unicode MS" w:hAnsi="Arial Unicode MS" w:eastAsia="Arial Unicode MS"/>
          <w:color w:val="5C6670"/>
          <w:sz w:val="18"/>
        </w:rPr>
        <w:t>图1：本体解析分层与失真观测点（可编辑 SVG：图1-本体解析分层.svg）</w:t>
      </w:r>
    </w:p>
    <w:p w14:paraId="19153ABF">
      <w:pPr>
        <w:pStyle w:val="3"/>
      </w:pPr>
      <w:r>
        <w:t>四、端到端工作流</w:t>
      </w:r>
    </w:p>
    <w:p w14:paraId="1CBB249E">
      <w:r>
        <w:t>平台应从“用户任务或项目材料包”进入场景识别，再加载对应本体切片和规则，按需调用 OCR、抽取、计算、比对、外部查询等 Skills，最后输出带证据的结论，并把反馈沉淀为候选规则和 EvalCase。</w:t>
      </w:r>
    </w:p>
    <w:p w14:paraId="6EF2F42F">
      <w:pPr>
        <w:jc w:val="center"/>
      </w:pPr>
      <w:r>
        <w:drawing>
          <wp:inline distT="0" distB="0" distL="114300" distR="114300">
            <wp:extent cx="5715000" cy="2509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9750">
      <w:pPr>
        <w:spacing w:after="200"/>
        <w:jc w:val="center"/>
      </w:pPr>
      <w:r>
        <w:rPr>
          <w:rFonts w:ascii="Arial Unicode MS" w:hAnsi="Arial Unicode MS" w:eastAsia="Arial Unicode MS"/>
          <w:color w:val="5C6670"/>
          <w:sz w:val="18"/>
        </w:rPr>
        <w:t>图2：金融客户场景推理工作流（可编辑 SVG：图2-金融客户场景推理工作流.svg）</w:t>
      </w:r>
    </w:p>
    <w:p w14:paraId="2009626A">
      <w:pPr>
        <w:pStyle w:val="3"/>
      </w:pPr>
      <w:r>
        <w:t>五、场景总览与优先级</w:t>
      </w:r>
    </w:p>
    <w:tbl>
      <w:tblPr>
        <w:tblStyle w:val="33"/>
        <w:tblW w:w="99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400"/>
        <w:gridCol w:w="1700"/>
        <w:gridCol w:w="1300"/>
        <w:gridCol w:w="2860"/>
      </w:tblGrid>
      <w:tr w14:paraId="66C17DD1"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13D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编号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D0D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场景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A70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优先级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DF1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验证层级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5F5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定位</w:t>
            </w:r>
          </w:p>
        </w:tc>
      </w:tr>
      <w:tr w14:paraId="11F226C2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ECB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9AA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项目材料归档与本体草案生成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8C9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214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L0-L3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D75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样板入口</w:t>
            </w:r>
          </w:p>
        </w:tc>
      </w:tr>
      <w:tr w14:paraId="65BF5B12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707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39F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客户准入、工商舆情与黑名单核验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B46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第一批/接口依赖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05A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L1-L4/L6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CB6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主体风险</w:t>
            </w:r>
          </w:p>
        </w:tc>
      </w:tr>
      <w:tr w14:paraId="399D2C6E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55F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4B1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融资租赁尽调与风险审查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508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D34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0FF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租赁主场景</w:t>
            </w:r>
          </w:p>
        </w:tc>
      </w:tr>
      <w:tr w14:paraId="3E13830D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04F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0FC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保理贸易背景真实性与四符合审查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C50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并行样板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8E0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7CC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保理主场景</w:t>
            </w:r>
          </w:p>
        </w:tc>
      </w:tr>
      <w:tr w14:paraId="24481C69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535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S5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A3A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合同模板审查与跨合同一致性校验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C07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B92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AFC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法务风控</w:t>
            </w:r>
          </w:p>
        </w:tc>
      </w:tr>
      <w:tr w14:paraId="3A6D21F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216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S6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0B9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放款前置条件与实施管控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5FE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A08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L2-L5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A15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门控场景</w:t>
            </w:r>
          </w:p>
        </w:tc>
      </w:tr>
      <w:tr w14:paraId="377B7BE4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78F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S7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962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上会材料摘要与领导问答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28B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第一批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2CF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L2-L7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FD0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高价值演示</w:t>
            </w:r>
          </w:p>
        </w:tc>
      </w:tr>
      <w:tr w14:paraId="6EB907D4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179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S8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522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关联关系穿透、集团授信与集中度测算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3EF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第二批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AC2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L2-L7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CB9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图谱与外部数据</w:t>
            </w:r>
          </w:p>
        </w:tc>
      </w:tr>
      <w:tr w14:paraId="0742CC0C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EE3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S9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09F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抵押物/租赁物估值、权属与 LTV 管理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355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第二批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131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L1-L6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92C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资产风控</w:t>
            </w:r>
          </w:p>
        </w:tc>
      </w:tr>
      <w:tr w14:paraId="027141E2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2D0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77D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贷后动态风险预警与五级分类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A57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第二批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F9A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L3-L7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372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事件驱动</w:t>
            </w:r>
          </w:p>
        </w:tc>
      </w:tr>
      <w:tr w14:paraId="38683EB3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195A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D2A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报表、台账与经营分析自动化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53D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第二批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279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L1-L5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494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确定性计算</w:t>
            </w:r>
          </w:p>
        </w:tc>
      </w:tr>
      <w:tr w14:paraId="16E0301B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90F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S12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F05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不良资产包尽调、估值与处置策略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896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探索批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1BDD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L2-L7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C66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高阶决策辅助</w:t>
            </w:r>
          </w:p>
        </w:tc>
      </w:tr>
      <w:tr w14:paraId="31D8CE7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362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S13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FE1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知识库问答、制度匹配与 Skill 沉淀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A5C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横向能力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A53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L0-L7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3A7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治理闭环</w:t>
            </w:r>
          </w:p>
        </w:tc>
      </w:tr>
      <w:tr w14:paraId="3EA39D02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29F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6C7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文档脱敏与权限控制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403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横向能力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656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L0-L3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518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安全合规</w:t>
            </w:r>
          </w:p>
        </w:tc>
      </w:tr>
    </w:tbl>
    <w:p w14:paraId="65A9221C"/>
    <w:p w14:paraId="0516F642">
      <w:pPr>
        <w:pStyle w:val="3"/>
      </w:pPr>
      <w:r>
        <w:t>六、第一批 MVP 路线</w:t>
      </w:r>
    </w:p>
    <w:p w14:paraId="06C2CF78">
      <w:r>
        <w:t>第一批不建议同时做满 14 个场景。更稳妥的路线是先用清水绿岸、港城建设等融资租赁材料跑通一个完整闭环，再用古城建设保理项目验证跨文档真实性校验。</w:t>
      </w:r>
    </w:p>
    <w:p w14:paraId="05E77C8A">
      <w:pPr>
        <w:jc w:val="center"/>
      </w:pPr>
      <w:r>
        <w:drawing>
          <wp:inline distT="0" distB="0" distL="114300" distR="114300">
            <wp:extent cx="5715000" cy="2364740"/>
            <wp:effectExtent l="0" t="0" r="0" b="228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2003">
      <w:pPr>
        <w:spacing w:after="200"/>
        <w:jc w:val="center"/>
      </w:pPr>
      <w:r>
        <w:rPr>
          <w:rFonts w:ascii="Arial Unicode MS" w:hAnsi="Arial Unicode MS" w:eastAsia="Arial Unicode MS"/>
          <w:color w:val="5C6670"/>
          <w:sz w:val="18"/>
        </w:rPr>
        <w:t>图3：第一批 MVP 场景路线（可编辑 SVG：图4-第一批MVP场景路线.svg）</w:t>
      </w:r>
    </w:p>
    <w:p w14:paraId="4AC4F118">
      <w:pPr>
        <w:pStyle w:val="3"/>
      </w:pPr>
      <w:r>
        <w:t>七、P0/P1/P2 评测闭环</w:t>
      </w:r>
    </w:p>
    <w:p w14:paraId="51EEAAB8">
      <w:r>
        <w:t>P0 验证最小可用，P1 验证真实业务稳定性，P2 刻意制造边界输入。所有评测都应带 boundary_tags，用来标注本体深度、输入质量、冲突类型和依赖工具。</w:t>
      </w:r>
    </w:p>
    <w:p w14:paraId="6F310AB1">
      <w:pPr>
        <w:jc w:val="center"/>
      </w:pPr>
      <w:r>
        <w:drawing>
          <wp:inline distT="0" distB="0" distL="114300" distR="114300">
            <wp:extent cx="5715000" cy="3054350"/>
            <wp:effectExtent l="0" t="0" r="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5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EE4">
      <w:pPr>
        <w:spacing w:after="200"/>
        <w:jc w:val="center"/>
      </w:pPr>
      <w:r>
        <w:rPr>
          <w:rFonts w:ascii="Arial Unicode MS" w:hAnsi="Arial Unicode MS" w:eastAsia="Arial Unicode MS"/>
          <w:color w:val="5C6670"/>
          <w:sz w:val="18"/>
        </w:rPr>
        <w:t>图4：P0/P1/P2 评测闭环（可编辑 SVG：图3-P0P1P2评测闭环.svg）</w:t>
      </w:r>
    </w:p>
    <w:p w14:paraId="65C6E96E">
      <w:pPr>
        <w:pStyle w:val="3"/>
      </w:pPr>
      <w:r>
        <w:t>八、第一批核心场景评测矩阵</w:t>
      </w:r>
    </w:p>
    <w:tbl>
      <w:tblPr>
        <w:tblStyle w:val="33"/>
        <w:tblW w:w="10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300"/>
        <w:gridCol w:w="2500"/>
        <w:gridCol w:w="2500"/>
        <w:gridCol w:w="1760"/>
      </w:tblGrid>
      <w:tr w14:paraId="73476B1F"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A04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场景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707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P0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D9B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P1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317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P2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D04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重点边界</w:t>
            </w:r>
          </w:p>
        </w:tc>
      </w:tr>
      <w:tr w14:paraId="705EEE20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DBF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 材料归档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657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识别审批表、合同、评估报告、征信、票据等材料类型，生成材料完成率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BD5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混合 DOCX/PDF/XLSX 和文件夹路径，关联到同一项目并提示编号冲突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F6C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加入扫描件、模糊文件名、图片材料；低置信度必须进入人工复核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7A2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OCR 失败时是否幻觉；L0-L3 是否稳定</w:t>
            </w:r>
          </w:p>
        </w:tc>
      </w:tr>
      <w:tr w14:paraId="3A593FB6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7B2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S3 租赁尽调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F65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抽取融资金额、期限、收益率、承租人、租赁物、财务指标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EF0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结合审批表、风险审查意见、评估报告，计算抵押覆盖和规则命中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F098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加入扫描财报、多个估值口径、项目编号不一致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39F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L4-L5 规则组合和冲突证据处理</w:t>
            </w:r>
          </w:p>
        </w:tc>
      </w:tr>
      <w:tr w14:paraId="434B7534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928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S5 合同审查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882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抽取合同类型、主体、金额、日期、关键条款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596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比对主合同、保证合同、抵押合同的编号、主体、担保范围、抵押物清单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EA0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加入盖章扫描、手写修改、空白占位、附件缺失、条款删改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FC1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版面/OCR 与跨合同一致性边界</w:t>
            </w:r>
          </w:p>
        </w:tc>
      </w:tr>
      <w:tr w14:paraId="37AA3C78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DEB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S6 放款前置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012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按材料清单检查面签、合同、他项权证、实施审批表是否齐全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F5D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把评审会补充条件转成放款条件并追踪完成状态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E09D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加入模糊审批条件、登记证明图片、人脸核验图片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873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自然语言条件转规则的边界</w:t>
            </w:r>
          </w:p>
        </w:tc>
      </w:tr>
      <w:tr w14:paraId="4BFE07E0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A71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S7 上会问答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4A3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对风险审查意见生成摘要，保留金额、期限、担保、抵押、结论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DE7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回答“为什么风险可控”，必须引用主体、抵押覆盖、担保和关注事项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28D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连续多轮追问，验证结论不漂移、不把未证实风险当事实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1A9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L7 多轮证据保持与不确定性表达</w:t>
            </w:r>
          </w:p>
        </w:tc>
      </w:tr>
      <w:tr w14:paraId="2D075C3B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F25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S4 保理并行样板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F63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抽取卖方、买方、担保方、应收账款、融资金额、到期日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D7A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合同、发票、转让通知、回执、中登登记做四符合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7B2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制造发票/合同金额不一致、回执缺失、重复融资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391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L5 贸易真实性与多凭证闭环</w:t>
            </w:r>
          </w:p>
        </w:tc>
      </w:tr>
    </w:tbl>
    <w:p w14:paraId="1C2F4CEA"/>
    <w:p w14:paraId="63923488">
      <w:pPr>
        <w:pStyle w:val="3"/>
      </w:pPr>
      <w:r>
        <w:t>九、扩展场景评测要点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C7209B2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6CD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场景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7F0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评测重点</w:t>
            </w:r>
          </w:p>
        </w:tc>
      </w:tr>
      <w:tr w14:paraId="243DF30D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14F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S2 主体准入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AE7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主体名称、统一社会信用代码、角色关系准确；P2 重点测同名公司、历史名称和外部 API 冲突。</w:t>
            </w:r>
          </w:p>
        </w:tc>
      </w:tr>
      <w:tr w14:paraId="138D6E36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28A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S8 关联穿透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EB8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显式角色关系应稳定；3 层以上股权/担保穿透必须依赖图检索和外部数据，输出置信度。</w:t>
            </w:r>
          </w:p>
        </w:tc>
      </w:tr>
      <w:tr w14:paraId="1D553EDC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DEC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S9 估值与 LTV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27A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数值计算交给工具；P2 重点测坐落、面积、权属证书、评估报告多源不一致。</w:t>
            </w:r>
          </w:p>
        </w:tc>
      </w:tr>
      <w:tr w14:paraId="72266E85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772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S10 贷后预警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6A3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用模拟事件流先评测诉讼、查封、逾期、舆情对项目状态和分类建议的影响。</w:t>
            </w:r>
          </w:p>
        </w:tc>
      </w:tr>
      <w:tr w14:paraId="43DE37F3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2F4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S11 报表台账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035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报表口径和指标绑定应可复核；模型负责解释变化，不负责大规模手算。</w:t>
            </w:r>
          </w:p>
        </w:tc>
      </w:tr>
      <w:tr w14:paraId="11F81FA5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5BB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S12 不良资产包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C6B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适合后期高阶演示；P2 不要求自动决策，应输出追加尽调清单和不确定性。</w:t>
            </w:r>
          </w:p>
        </w:tc>
      </w:tr>
      <w:tr w14:paraId="5D2B01E8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B2F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S13 知识沉淀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F3C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验证“用户纠错 -&gt; 候选规则 -&gt; 评测用例 -&gt; 回归验证”闭环。</w:t>
            </w:r>
          </w:p>
        </w:tc>
      </w:tr>
      <w:tr w14:paraId="386DE380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424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S14 脱敏权限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872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文本脱敏可先做；图像、公章、人脸脱敏需单独视觉能力，不能假装完成。</w:t>
            </w:r>
          </w:p>
        </w:tc>
      </w:tr>
    </w:tbl>
    <w:p w14:paraId="1A1F47AB"/>
    <w:p w14:paraId="32128877">
      <w:pPr>
        <w:pStyle w:val="3"/>
      </w:pPr>
      <w:r>
        <w:t>十、第一批评测集建议</w:t>
      </w:r>
    </w:p>
    <w:p w14:paraId="7B15A016">
      <w:r>
        <w:t>建议先构造 120 条 EvalCase，覆盖租赁主线和保理并行样板。每条用例必须记录来源文件、期望对象、期望关系、规则命中、结论、证据点和边界标签。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900"/>
        <w:gridCol w:w="6460"/>
      </w:tblGrid>
      <w:tr w14:paraId="00A13D7C"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828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D84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数量</w:t>
            </w:r>
          </w:p>
        </w:tc>
        <w:tc>
          <w:tcPr>
            <w:tcW w:w="6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479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覆盖</w:t>
            </w:r>
          </w:p>
        </w:tc>
      </w:tr>
      <w:tr w14:paraId="21389FC4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B85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文档类型识别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241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20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9CA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审批表、合同、评估报告、征信、票据、面签、权证、材料清单</w:t>
            </w:r>
          </w:p>
        </w:tc>
      </w:tr>
      <w:tr w14:paraId="1C12709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E07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实体字段抽取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352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20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1DB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项目编号、主体、金额、期限、收益率、日期、坐落、面积、估值</w:t>
            </w:r>
          </w:p>
        </w:tc>
      </w:tr>
      <w:tr w14:paraId="7996491F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C1E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关系抽取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611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15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BCD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项目-主体、项目-合同、合同-抵押物、主从合同、应收账款-买卖方</w:t>
            </w:r>
          </w:p>
        </w:tc>
      </w:tr>
      <w:tr w14:paraId="5B699D64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15C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状态判断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34C6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23B8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立项、审批、签署、登记、放款、逾期、结清</w:t>
            </w:r>
          </w:p>
        </w:tc>
      </w:tr>
      <w:tr w14:paraId="36DA01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F41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规则应用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EF7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20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720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资产负债率、抵押覆盖、放款前置、材料门控、合同条款</w:t>
            </w:r>
          </w:p>
        </w:tc>
      </w:tr>
      <w:tr w14:paraId="3DC763B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655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跨文档一致性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837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15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D96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合同/审批表/评估/票据/通知书之间金额、主体、日期、账户一致</w:t>
            </w:r>
          </w:p>
        </w:tc>
      </w:tr>
      <w:tr w14:paraId="3FAD938D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99E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上会问答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DB2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225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风险可控原因、需关注事项、抵押物风险、担保人资信</w:t>
            </w:r>
          </w:p>
        </w:tc>
      </w:tr>
      <w:tr w14:paraId="0F046815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8E8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边界/冲突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5C6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10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AC3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扫描件、编号冲突、主体简称冲突、缺失材料、矛盾证据</w:t>
            </w:r>
          </w:p>
        </w:tc>
      </w:tr>
    </w:tbl>
    <w:p w14:paraId="75BC6265"/>
    <w:p w14:paraId="133EC1B2">
      <w:pPr>
        <w:pStyle w:val="3"/>
      </w:pPr>
      <w:r>
        <w:t>十一、能力边界指标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02660FC8"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B78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指标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589E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含义</w:t>
            </w:r>
          </w:p>
        </w:tc>
      </w:tr>
      <w:tr w14:paraId="34A84D7A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82B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场景匹配准确率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CBD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用户问题或材料包是否进入正确 Scenario</w:t>
            </w:r>
          </w:p>
        </w:tc>
      </w:tr>
      <w:tr w14:paraId="2DC5B48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B28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实体/关系/状态准确率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1BA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分别对应 L1、L2、L3 的稳定性</w:t>
            </w:r>
          </w:p>
        </w:tc>
      </w:tr>
      <w:tr w14:paraId="7157EB9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F59A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规则选择准确率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E0F0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L4 是否激活正确规则，硬拦截/软预警是否区分</w:t>
            </w:r>
          </w:p>
        </w:tc>
      </w:tr>
      <w:tr w14:paraId="519295FE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03C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跨文档一致性检出率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E2BD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L5 是否发现金额、主体、日期、编号、账户等冲突</w:t>
            </w:r>
          </w:p>
        </w:tc>
      </w:tr>
      <w:tr w14:paraId="051BC33F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B6B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事件关联准确率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425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L6 是否把外部事件关联到正确主体和项目</w:t>
            </w:r>
          </w:p>
        </w:tc>
      </w:tr>
      <w:tr w14:paraId="105598EC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894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决策结论一致性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805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L7 建议是否符合专家预期，且没有越权自动决策</w:t>
            </w:r>
          </w:p>
        </w:tc>
      </w:tr>
      <w:tr w14:paraId="07B1C50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569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证据引用准确率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CE8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是否定位到正确文件、页码、条款、字段或工具结果</w:t>
            </w:r>
          </w:p>
        </w:tc>
      </w:tr>
      <w:tr w14:paraId="48B77A2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FF6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不确定性表达率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EF6B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证据不足、输入低质、外部冲突时是否明确说明</w:t>
            </w:r>
          </w:p>
        </w:tc>
      </w:tr>
      <w:tr w14:paraId="6B3C64E4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5DA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幻觉率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4012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无证据事实、错误规则、错误引用的占比</w:t>
            </w:r>
          </w:p>
        </w:tc>
      </w:tr>
      <w:tr w14:paraId="067DDB01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40CF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多轮一致性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23E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连续追问中结论和证据是否漂移</w:t>
            </w:r>
          </w:p>
        </w:tc>
      </w:tr>
    </w:tbl>
    <w:p w14:paraId="028F4A03"/>
    <w:p w14:paraId="5EF48E6E">
      <w:pPr>
        <w:pStyle w:val="3"/>
      </w:pPr>
      <w:r>
        <w:t>十二、预期失真边界</w:t>
      </w:r>
    </w:p>
    <w:p w14:paraId="260C045F">
      <w:pPr>
        <w:pStyle w:val="16"/>
      </w:pPr>
      <w:r>
        <w:rPr>
          <w:rFonts w:ascii="Arial Unicode MS" w:hAnsi="Arial Unicode MS" w:eastAsia="Arial Unicode MS"/>
        </w:rPr>
        <w:t>L0-L1：DOCX、XLSX、原生 PDF 较稳定；扫描 PDF、图片、公章、人脸核验明显依赖 OCR/视觉模型。</w:t>
      </w:r>
    </w:p>
    <w:p w14:paraId="4956ABAE">
      <w:pPr>
        <w:pStyle w:val="16"/>
      </w:pPr>
      <w:r>
        <w:rPr>
          <w:rFonts w:ascii="Arial Unicode MS" w:hAnsi="Arial Unicode MS" w:eastAsia="Arial Unicode MS"/>
        </w:rPr>
        <w:t>L2：显式项目关系较稳定；隐性关联、历史名称、同名主体需要外部数据和图检索。</w:t>
      </w:r>
    </w:p>
    <w:p w14:paraId="339AA81B">
      <w:pPr>
        <w:pStyle w:val="16"/>
      </w:pPr>
      <w:r>
        <w:rPr>
          <w:rFonts w:ascii="Arial Unicode MS" w:hAnsi="Arial Unicode MS" w:eastAsia="Arial Unicode MS"/>
        </w:rPr>
        <w:t>L3：流程和材料状态可稳定；合同的“草稿/已签署/已盖章/已生效/已登记”容易混用。</w:t>
      </w:r>
    </w:p>
    <w:p w14:paraId="0EAB045D">
      <w:pPr>
        <w:pStyle w:val="16"/>
      </w:pPr>
      <w:r>
        <w:rPr>
          <w:rFonts w:ascii="Arial Unicode MS" w:hAnsi="Arial Unicode MS" w:eastAsia="Arial Unicode MS"/>
        </w:rPr>
        <w:t>L4：阈值和门控规则可稳定；自然语言“需关注事项”转原子规则必须人工审核。</w:t>
      </w:r>
    </w:p>
    <w:p w14:paraId="0D6CC14B">
      <w:pPr>
        <w:pStyle w:val="16"/>
      </w:pPr>
      <w:r>
        <w:rPr>
          <w:rFonts w:ascii="Arial Unicode MS" w:hAnsi="Arial Unicode MS" w:eastAsia="Arial Unicode MS"/>
        </w:rPr>
        <w:t>L5：第一批最关键边界，尤其是金额、日期、主体、合同编号、账户、坐落和面积。</w:t>
      </w:r>
    </w:p>
    <w:p w14:paraId="14F71234">
      <w:pPr>
        <w:pStyle w:val="16"/>
      </w:pPr>
      <w:r>
        <w:rPr>
          <w:rFonts w:ascii="Arial Unicode MS" w:hAnsi="Arial Unicode MS" w:eastAsia="Arial Unicode MS"/>
        </w:rPr>
        <w:t>L6：事件驱动风控需要外部 API、时间线和来源可信度，不能只靠静态材料。</w:t>
      </w:r>
    </w:p>
    <w:p w14:paraId="4A13C520">
      <w:pPr>
        <w:pStyle w:val="16"/>
      </w:pPr>
      <w:r>
        <w:rPr>
          <w:rFonts w:ascii="Arial Unicode MS" w:hAnsi="Arial Unicode MS" w:eastAsia="Arial Unicode MS"/>
        </w:rPr>
        <w:t>L7：上会建议、分类建议、处置策略只能做辅助决策，必须保留证据和不确定性。</w:t>
      </w:r>
    </w:p>
    <w:p w14:paraId="2B6314AC">
      <w:pPr>
        <w:pStyle w:val="3"/>
      </w:pPr>
      <w:r>
        <w:t>十三、下一步建议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73501692"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C6A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CFA7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</w:t>
            </w:r>
          </w:p>
        </w:tc>
      </w:tr>
      <w:tr w14:paraId="33525AE0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5B3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1</w:t>
            </w:r>
          </w:p>
        </w:tc>
        <w:tc>
          <w:tcPr>
            <w:tcW w:w="8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3FD3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生成 `scenario.leasing_risk_review` 的完整 YAML 本体切片。</w:t>
            </w:r>
          </w:p>
        </w:tc>
      </w:tr>
      <w:tr w14:paraId="33F31C3D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7FC4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2</w:t>
            </w:r>
          </w:p>
        </w:tc>
        <w:tc>
          <w:tcPr>
            <w:tcW w:w="8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F91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生成 `scenario.contract_consistency_review` 的规则清单和输出 JSON Schema。</w:t>
            </w:r>
          </w:p>
        </w:tc>
      </w:tr>
      <w:tr w14:paraId="78621E8C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3955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3</w:t>
            </w:r>
          </w:p>
        </w:tc>
        <w:tc>
          <w:tcPr>
            <w:tcW w:w="8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830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从清水绿岸/港城建设材料中整理第一批 30 条 EvalCase。</w:t>
            </w:r>
          </w:p>
        </w:tc>
      </w:tr>
      <w:tr w14:paraId="13F28D8E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126C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4</w:t>
            </w:r>
          </w:p>
        </w:tc>
        <w:tc>
          <w:tcPr>
            <w:tcW w:w="8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FFCD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为扫描件单独评估 OCR/视觉能力，不把 OCR 失败归因于本体推理失败。</w:t>
            </w:r>
          </w:p>
        </w:tc>
      </w:tr>
      <w:tr w14:paraId="44A5ECBB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BF29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9"/>
              </w:rPr>
              <w:t>5</w:t>
            </w:r>
          </w:p>
        </w:tc>
        <w:tc>
          <w:tcPr>
            <w:tcW w:w="8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0FC1"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sz w:val="18"/>
              </w:rPr>
              <w:t>设计项目级 AI 工作台：材料、对象图、规则命中、证据、推理轨迹、问答、反馈。</w:t>
            </w:r>
          </w:p>
        </w:tc>
      </w:tr>
    </w:tbl>
    <w:p w14:paraId="6F58DCAD"/>
    <w:p w14:paraId="776C53B5">
      <w:pPr>
        <w:spacing w:before="120"/>
      </w:pPr>
      <w:r>
        <w:rPr>
          <w:rFonts w:ascii="Arial Unicode MS" w:hAnsi="Arial Unicode MS" w:eastAsia="Arial Unicode MS"/>
          <w:color w:val="5C6670"/>
          <w:sz w:val="20"/>
        </w:rPr>
        <w:t>图表说明：Word 中嵌入的是 PNG 预览，便于稳定打开；可编辑 SVG 源文件已单独保存在“需求与设计文档/图表”。</w:t>
      </w:r>
    </w:p>
    <w:sectPr>
      <w:head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8705D">
    <w:pPr>
      <w:pStyle w:val="25"/>
      <w:jc w:val="right"/>
    </w:pPr>
    <w:r>
      <w:rPr>
        <w:rFonts w:ascii="Arial Unicode MS" w:hAnsi="Arial Unicode MS" w:eastAsia="Arial Unicode MS"/>
        <w:color w:val="5C6670"/>
        <w:sz w:val="18"/>
      </w:rPr>
      <w:t>Onto Pro | 金融客户场景与评测方案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E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Arial Unicode MS" w:hAnsi="Arial Unicode MS" w:eastAsia="Arial Unicode MS" w:cstheme="minorBidi"/>
      <w:color w:val="1B27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60" w:line="240" w:lineRule="auto"/>
    </w:pPr>
    <w:rPr>
      <w:rFonts w:ascii="Arial Unicode MS" w:hAnsi="Arial Unicode MS" w:eastAsia="Arial Unicode MS"/>
      <w:b/>
      <w:bCs/>
      <w:color w:val="5C667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 Unicode M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 Unicode MS"/>
        <a:font script="Hebr" typeface="Arial Unicode M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Unicode M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田琪</cp:lastModifiedBy>
  <dcterms:modified xsi:type="dcterms:W3CDTF">2026-06-02T14:55:18Z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20384D16B01E0967567E1E6A9F94CD64_42</vt:lpwstr>
  </property>
</Properties>
</file>