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64" w:lineRule="auto"/>
      </w:pPr>
      <w:r>
        <w:rPr>
          <w:rFonts w:ascii="Calibri" w:hAnsi="Calibri" w:eastAsia="Microsoft YaHei"/>
          <w:b/>
          <w:color w:val="606874"/>
          <w:sz w:val="22"/>
        </w:rPr>
        <w:t>产品需求文档</w:t>
      </w:r>
    </w:p>
    <w:p>
      <w:pPr>
        <w:spacing w:before="0" w:after="80" w:line="264" w:lineRule="auto"/>
      </w:pPr>
      <w:r>
        <w:rPr>
          <w:rFonts w:ascii="Calibri" w:hAnsi="Calibri" w:eastAsia="Microsoft YaHei"/>
          <w:b/>
          <w:color w:val="202736"/>
          <w:sz w:val="48"/>
        </w:rPr>
        <w:t>传神智谱：本体开发平台优化 PRD v0.2</w:t>
      </w:r>
    </w:p>
    <w:p>
      <w:pPr>
        <w:spacing w:before="0" w:after="320" w:line="264" w:lineRule="auto"/>
      </w:pPr>
      <w:r>
        <w:rPr>
          <w:rFonts w:ascii="Calibri" w:hAnsi="Calibri" w:eastAsia="Microsoft YaHei"/>
          <w:b w:val="0"/>
          <w:color w:val="606874"/>
          <w:sz w:val="26"/>
        </w:rPr>
        <w:t>从静态本体 CRUD 升级为合同领域语义能力生产系统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color w:val="202736"/>
          <w:sz w:val="22"/>
        </w:rPr>
        <w:t xml:space="preserve">版本: </w:t>
      </w:r>
      <w:r>
        <w:rPr>
          <w:rFonts w:ascii="Calibri" w:hAnsi="Calibri" w:eastAsia="Microsoft YaHei"/>
          <w:color w:val="202736"/>
          <w:sz w:val="22"/>
        </w:rPr>
        <w:t>v0.2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color w:val="202736"/>
          <w:sz w:val="22"/>
        </w:rPr>
        <w:t xml:space="preserve">日期: </w:t>
      </w:r>
      <w:r>
        <w:rPr>
          <w:rFonts w:ascii="Calibri" w:hAnsi="Calibri" w:eastAsia="Microsoft YaHei"/>
          <w:color w:val="202736"/>
          <w:sz w:val="22"/>
        </w:rPr>
        <w:t>2026-06-06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color w:val="202736"/>
          <w:sz w:val="22"/>
        </w:rPr>
        <w:t xml:space="preserve">分支: </w:t>
      </w:r>
      <w:r>
        <w:rPr>
          <w:rFonts w:ascii="Calibri" w:hAnsi="Calibri" w:eastAsia="Microsoft YaHei"/>
          <w:color w:val="202736"/>
          <w:sz w:val="22"/>
        </w:rPr>
        <w:t>feature/zhitu-ontology-optimization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color w:val="202736"/>
          <w:sz w:val="22"/>
        </w:rPr>
        <w:t xml:space="preserve">业务域: </w:t>
      </w:r>
      <w:r>
        <w:rPr>
          <w:rFonts w:ascii="Calibri" w:hAnsi="Calibri" w:eastAsia="Microsoft YaHei"/>
          <w:color w:val="202736"/>
          <w:sz w:val="22"/>
        </w:rPr>
        <w:t>合同审核与合同风险决策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color w:val="202736"/>
          <w:sz w:val="22"/>
        </w:rPr>
        <w:t xml:space="preserve">当前边界: </w:t>
      </w:r>
      <w:r>
        <w:rPr>
          <w:rFonts w:ascii="Calibri" w:hAnsi="Calibri" w:eastAsia="Microsoft YaHei"/>
          <w:color w:val="202736"/>
          <w:sz w:val="22"/>
        </w:rPr>
        <w:t>不做合同创建，不做场景编排，先完善本体开发能力</w:t>
      </w:r>
    </w:p>
    <w:p>
      <w:pPr>
        <w:pBdr>
          <w:bottom w:val="single" w:sz="8" w:space="1" w:color="B7C9DD"/>
        </w:pBdr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5FF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设计结论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1"/>
              </w:rPr>
              <w:t>智谱的核心价值不是把对象、关系、规则做成表单，而是让业务专家把合同领域的语义结构、计算口径、行动触发和查询能力沉淀成可测试、可发布、可被智脑调用的能力资产。</w:t>
            </w:r>
          </w:p>
        </w:tc>
      </w:tr>
    </w:tbl>
    <w:p/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1. 定位升级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02736"/>
          <w:sz w:val="22"/>
        </w:rPr>
        <w:t>传神智谱从“本体管理工具”升级为“合同领域本体开发平台”。它面向业务、法务、风控和解决方案团队，不要求用户理解 Neo4j、Cypher 或 OWL，而是通过本体、对象、关系、函数、行为、查询能力和验证用例，把复杂逻辑沉到后台。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智谱负责生产能力：定义合同语义结构、计算指标、行动规则、查询接口和版本。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智脑负责运行能力：调用智谱发布的能力，完成推理、决策、风控和执行协同。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场景不作为智谱一期主功能；场景应在智脑模块中编排，智谱只提供可被场景引用的基础能力。</w:t>
      </w:r>
    </w:p>
    <w:p>
      <w:r>
        <w:br w:type="page"/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2. 产品原则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65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0"/>
              </w:rPr>
              <w:t>原则</w:t>
            </w:r>
          </w:p>
        </w:tc>
        <w:tc>
          <w:tcPr>
            <w:tcW w:type="dxa" w:w="367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0"/>
              </w:rPr>
              <w:t>产品含义</w:t>
            </w:r>
          </w:p>
        </w:tc>
        <w:tc>
          <w:tcPr>
            <w:tcW w:type="dxa" w:w="403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0"/>
              </w:rPr>
              <w:t>落地要求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以本体为单位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进入智谱后先选择本体，再查看对象、关系、行为和图谱。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左侧一级导航保留“智谱”；二级先是本体库，点击本体后进入详情。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属性在对象里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属性是对象定义的一部分，不独立成为一级管理心智。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对象详情内维护属性、枚举、计算属性和字段口径。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规则在行为里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规则用于决定行为何时触发、如何输出。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行为详情内维护触发条件、规则、输出模板和人工确认要求。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函数沉淀语义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复杂业务口径通过函数或指标表达。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函数可绑定对象属性，也可被行为规则和查询能力引用。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每个接口可测试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新增接口必须同步写测试，不允许只做页面。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API、负例、引用一致性、审计、图同步都要有测试用例。</w:t>
            </w:r>
          </w:p>
        </w:tc>
      </w:tr>
    </w:tbl>
    <w:p/>
    <w:p>
      <w:r>
        <w:br w:type="page"/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3. 信息架构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02736"/>
          <w:sz w:val="22"/>
        </w:rPr>
        <w:t>智谱一级导航保持简单。用户点击智谱后看到“本体库”，本体是管理和发布的单位。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0"/>
              </w:rPr>
              <w:t>层级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0"/>
              </w:rPr>
              <w:t>页面</w:t>
            </w:r>
          </w:p>
        </w:tc>
        <w:tc>
          <w:tcPr>
            <w:tcW w:type="dxa" w:w="633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0"/>
              </w:rPr>
              <w:t>说明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一级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智谱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企业合同语义能力生产入口。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二级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本体库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展示所有本体，支持新增、复制、停用、导入、导出。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本体内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总览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查看对象、关系、函数、行为、查询能力、验证通过率和发布状态。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本体内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对象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维护对象及其属性、计算属性、字段口径和样例。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本体内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关系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维护对象之间的业务关系、方向、基数和可遍历性。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本体内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函数与指标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维护内置函数引用、自定义计算函数、指标口径和测试样例。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本体内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行为与规则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维护行动模板、触发条件、规则、输出和人工确认要求。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本体内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查询能力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把图查询、指标查询、多跳推理封装成可调用能力。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本体内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本体图谱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只展示对象和关系，点击对象看属性，点击边看相关规则和行为。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本体内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验证与发布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运行样例验证，通过后发布版本给智脑。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本体内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版本与审计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查看变更、差异、回滚和操作日志。</w:t>
            </w:r>
          </w:p>
        </w:tc>
      </w:tr>
    </w:tbl>
    <w:p/>
    <w:p>
      <w:r>
        <w:br w:type="page"/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4. 用户角色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0"/>
              </w:rPr>
              <w:t>角色</w:t>
            </w:r>
          </w:p>
        </w:tc>
        <w:tc>
          <w:tcPr>
            <w:tcW w:type="dxa" w:w="446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0"/>
              </w:rPr>
              <w:t>核心任务</w:t>
            </w:r>
          </w:p>
        </w:tc>
        <w:tc>
          <w:tcPr>
            <w:tcW w:type="dxa" w:w="316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0"/>
              </w:rPr>
              <w:t>权限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平台管理员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管理本体空间、成员、发布策略和系统配置。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全部权限。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业务建模人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维护对象、属性、关系、函数和查询能力。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编辑草稿、运行验证、提交发布。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法务专家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维护行为规则、审核风险口径和已解案例。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编辑规则、审批发布、查看验证结果。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智脑开发者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调用已发布本体能力，联调推理和执行闭环。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只读已发布版本、调用查询能力。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审计查看者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查看版本、变更和发布记录。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只读。</w:t>
            </w:r>
          </w:p>
        </w:tc>
      </w:tr>
    </w:tbl>
    <w:p/>
    <w:p>
      <w:r>
        <w:br w:type="page"/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5. MVP 功能范围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CF8F2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/>
                <w:color w:val="1A7354"/>
                <w:sz w:val="22"/>
              </w:rPr>
              <w:t>一期必须完成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1"/>
              </w:rPr>
              <w:t>本体库、对象与属性、关系、本体图谱、函数与指标、行为与规则、查询能力、验证与发布、版本与审计。每个管理模块必须支持新增、查看、编辑、停用、复制、导入、导出或说明为什么暂不支持。</w:t>
            </w:r>
          </w:p>
        </w:tc>
      </w:tr>
    </w:tbl>
    <w:p/>
    <w:p>
      <w:pPr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5.1 本体库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支持创建合同审核本体，复制历史本体，停用本体，导入 YAML/JSON，导出版本包。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本体卡片展示对象数、关系数、函数数、行为数、查询能力数、验证通过率和发布状态。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禁止物理删除已发布本体；只允许停用或废弃版本。</w:t>
      </w:r>
    </w:p>
    <w:p>
      <w:pPr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5.2 对象与属性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对象列表只展示对象名称、业务编码、状态、属性数量、关联关系数量和更新时间。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对象详情内维护普通属性、枚举属性、计算属性、字段来源、中文口径和样例值。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计算属性必须绑定函数、输入字段、输出类型和测试样例。</w:t>
      </w:r>
    </w:p>
    <w:p>
      <w:pPr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5.3 关系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关系连接两个对象，支持方向、基数、业务定义、可遍历性和样例。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关系可以绑定影响它的行为规则，但规则入口仍在行为详情中。</w:t>
      </w:r>
    </w:p>
    <w:p>
      <w:pPr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5.4 函数与指标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提供内置函数：计数、求和、最大值、最小值、最后一个值、时间窗口聚合、同比、环比、阈值比较。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支持自定义函数草稿、输入输出定义、代码模板、AI 辅助生成、测试运行和版本管理。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一期代码执行可先做沙箱模拟和预置函数，自定义代码执行作为受控开关。</w:t>
      </w:r>
    </w:p>
    <w:p>
      <w:pPr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5.5 行为与规则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行为是可执行或可建议执行的动作模板，例如触发复核、要求补充材料、阻断生效、生成风险发现。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规则在行为内维护，表达“什么条件下触发该行为”。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行为必须声明输入、输出、副作用、是否需要人工确认、调用智脑后的回写要求。</w:t>
      </w:r>
    </w:p>
    <w:p>
      <w:pPr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5.6 查询能力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把图查询、指标查询和多跳推理封装成能力，供前端和智脑调用。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每个查询能力必须有输入参数、输出结构、样例请求、样例响应、权限和测试用例。</w:t>
      </w:r>
    </w:p>
    <w:p>
      <w:pPr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5.7 验证与发布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每个本体版本发布前必须运行验证用例，包括结构校验、引用校验、函数测试、行为规则命中测试和查询能力测试。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验证失败时不允许发布；用户可查看失败原因并跳转到对应对象、函数、行为或查询能力。</w:t>
      </w:r>
    </w:p>
    <w:p>
      <w:pPr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5.8 暂不做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不做合同创建、合同录入、合同台账、合同审批流和合同在线编辑。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不把场景作为智谱一期主功能；场景编排进入智脑设计。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不做开放式低代码工作流市场；一期只做合同领域可控模板。</w:t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6. 核心用户流程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进入智谱，打开本体库，选择“单合同审核本体”。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进入对象页，维护合同、主体、条款、义务、付款计划、风险事项等对象，并在对象详情内维护属性。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进入关系页，维护合同包含条款、条款约束主体、付款计划对应义务等关系。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进入函数与指标页，配置付款逾期金额、主体历史风险次数、合同剩余履约天数等计算口径。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进入行为与规则页，配置触发复核、要求补充材料、阻断生效、生成风险发现等行为及规则。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进入查询能力页，把常用图查询封装成能力，例如主体风险穿透、条款偏离检查、付款异常路径。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进入验证与发布页，运行样例验证，通过后发布本体版本。</w:t>
      </w:r>
    </w:p>
    <w:p>
      <w:r>
        <w:br w:type="page"/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7. 验收标准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0"/>
              </w:rPr>
              <w:t>模块</w:t>
            </w:r>
          </w:p>
        </w:tc>
        <w:tc>
          <w:tcPr>
            <w:tcW w:type="dxa" w:w="741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0"/>
              </w:rPr>
              <w:t>可验收结果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本体库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可以新建、复制、停用、导入、导出本体；进入本体后所有内容按本体隔离。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对象与属性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可以在对象详情内完成属性 CRUD；图谱对象节点只显示中文对象名称。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关系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可以创建对象间关系，图谱边展示关系名称，点击边查看相关行为规则。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函数与指标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可以配置至少 5 类内置函数，并运行样例测试。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行为与规则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可以在行为内维护规则，规则可以引用对象、属性、关系和函数结果。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查询能力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可以创建查询能力并运行测试请求，返回结构化结果。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验证与发布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可以运行本体级验证，失败能定位，成功生成发布版本。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接口测试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每新增一个接口，必须有 pytest API 测试、负例测试和至少一个数据一致性断言。</w:t>
            </w:r>
          </w:p>
        </w:tc>
      </w:tr>
    </w:tbl>
    <w:p/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8. 成功指标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业务建模效率：合同审核基础本体从空白到可发布不超过 2 小时。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验证覆盖率：发布前核心对象、关系、函数、行为、查询能力均有测试用例。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智脑可用性：智脑无需拼接散乱 Prompt，可直接调用已发布查询能力和行为规则。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维护稳定性：对象或属性变更时，系统能展示受影响函数、行为、查询能力和版本。</w:t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9. 路线图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8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0"/>
              </w:rPr>
              <w:t>阶段</w:t>
            </w:r>
          </w:p>
        </w:tc>
        <w:tc>
          <w:tcPr>
            <w:tcW w:type="dxa" w:w="3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0"/>
              </w:rPr>
              <w:t>目标</w:t>
            </w:r>
          </w:p>
        </w:tc>
        <w:tc>
          <w:tcPr>
            <w:tcW w:type="dxa" w:w="417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0"/>
              </w:rPr>
              <w:t>交付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P0 文档收敛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明确智谱定位和实施边界。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PRD、详细设计、接口测试约束。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P1 结构调整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按本体详情重构导航和页面。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本体库、对象属性内聚、规则内聚到行为。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P2 动态本体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补齐函数、指标、行为触发和查询能力。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函数管理、查询能力、验证运行器。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P3 发布闭环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让智脑可调用智谱发布版本。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发布包、能力目录、调用审计。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P4 组织学习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根据智脑反馈优化智谱。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反馈回流、规则效果分析、案例库。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06874"/>
        <w:sz w:val="18"/>
      </w:rPr>
      <w:t>内部设计文档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4" w:lineRule="auto"/>
      <w:jc w:val="left"/>
    </w:pPr>
    <w:r>
      <w:rPr>
        <w:rFonts w:ascii="Calibri" w:hAnsi="Calibri" w:eastAsia="Microsoft YaHei"/>
        <w:color w:val="606874"/>
        <w:sz w:val="18"/>
      </w:rPr>
      <w:t>传神智谱 · 本体开发平台优化 PRD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20273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