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青岚县地震演练安置点设施台账</w:t>
      </w:r>
    </w:p>
    <w:p>
      <w:pPr>
        <w:spacing w:after="80"/>
        <w:jc w:val="center"/>
      </w:pPr>
      <w:r>
        <w:rPr>
          <w:sz w:val="18"/>
        </w:rPr>
        <w:t>编制单位：县安置设施登记小组  |  台账编号：QL-AZ-0914-01</w:t>
      </w:r>
    </w:p>
    <w:p>
      <w:pPr>
        <w:spacing w:after="80"/>
        <w:jc w:val="center"/>
      </w:pPr>
      <w:r>
        <w:rPr>
          <w:sz w:val="18"/>
        </w:rPr>
        <w:t>版本 V1.0  |  记录时点：2026-09-14 08:20  |  适用范围：本次演练</w:t>
      </w:r>
    </w:p>
    <w:p>
      <w:pPr>
        <w:spacing w:before="60" w:after="160"/>
      </w:pPr>
      <w:r>
        <w:rPr>
          <w:sz w:val="18"/>
        </w:rPr>
        <w:t>演示材料  所有地名和业务记录均属虚构，不代表真实灾情，不构成调度命令。</w:t>
      </w:r>
    </w:p>
    <w:p>
      <w:r>
        <w:t>本台账记录本次地震演练中两个安置点的登记规模和生活用水设施关系，供保障人员核对基础信息。登记小组以演练设施底册和当班登记为依据建立本版记录；本台账不替代设施实时巡查，不对供水连续性、水质或临时运输能力作出保证。</w:t>
      </w:r>
    </w:p>
    <w:p>
      <w:pPr>
        <w:pStyle w:val="Heading1"/>
      </w:pPr>
      <w:r>
        <w:t>一 登记范围与数据口径</w:t>
      </w:r>
    </w:p>
    <w:p>
      <w:pPr>
        <w:ind w:firstLine="440"/>
      </w:pPr>
      <w:r>
        <w:t>台账中的人数为08:20登记在册的安置人数，单位为人，分别对应各安置点，不代表搜救作业任务量、救援编组或需增派人员数量。人员流动后应由登记小组按新时点更新，不得把不同时间的登记数混用。设施关系记录的是本版已登记的供水来源，并非对区域管网完整拓扑的认定。</w:t>
      </w:r>
    </w:p>
    <w:p>
      <w:pPr>
        <w:pStyle w:val="Heading1"/>
      </w:pPr>
      <w:r>
        <w:t>二 安置点设施登记</w:t>
      </w:r>
    </w:p>
    <w:tbl>
      <w:tblPr>
        <w:tblW w:type="auto" w:w="0"/>
        <w:tblLayout w:type="fixed"/>
        <w:tblLook w:firstColumn="1" w:firstRow="1" w:lastColumn="0" w:lastRow="0" w:noHBand="0" w:noVBand="1" w:val="04A0"/>
      </w:tblPr>
      <w:tblGrid>
        <w:gridCol w:w="2765"/>
        <w:gridCol w:w="1152"/>
        <w:gridCol w:w="2347"/>
        <w:gridCol w:w="3902"/>
      </w:tblGrid>
      <w:tr>
        <w:trPr>
          <w:tblHeader/>
        </w:trPr>
        <w:tc>
          <w:tcPr>
            <w:tcW w:type="dxa" w:w="276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CF0"/>
          </w:tcPr>
          <w:p>
            <w:pPr>
              <w:spacing w:after="0" w:line="276" w:lineRule="auto"/>
              <w:jc w:val="center"/>
            </w:pPr>
            <w:r>
              <w:rPr>
                <w:b/>
                <w:sz w:val="20"/>
              </w:rPr>
              <w:t>安置点</w:t>
            </w:r>
          </w:p>
        </w:tc>
        <w:tc>
          <w:tcPr>
            <w:tcW w:type="dxa" w:w="11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CF0"/>
          </w:tcPr>
          <w:p>
            <w:pPr>
              <w:spacing w:after="0" w:line="276" w:lineRule="auto"/>
              <w:jc w:val="center"/>
            </w:pPr>
            <w:r>
              <w:rPr>
                <w:b/>
                <w:sz w:val="20"/>
              </w:rPr>
              <w:t>登记人数</w:t>
            </w:r>
          </w:p>
        </w:tc>
        <w:tc>
          <w:tcPr>
            <w:tcW w:type="dxa" w:w="23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CF0"/>
          </w:tcPr>
          <w:p>
            <w:pPr>
              <w:spacing w:after="0" w:line="276" w:lineRule="auto"/>
              <w:jc w:val="center"/>
            </w:pPr>
            <w:r>
              <w:rPr>
                <w:b/>
                <w:sz w:val="20"/>
              </w:rPr>
              <w:t>生活用水来源</w:t>
            </w:r>
          </w:p>
        </w:tc>
        <w:tc>
          <w:tcPr>
            <w:tcW w:type="dxa" w:w="39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CF0"/>
          </w:tcPr>
          <w:p>
            <w:pPr>
              <w:spacing w:after="0" w:line="276" w:lineRule="auto"/>
              <w:jc w:val="center"/>
            </w:pPr>
            <w:r>
              <w:rPr>
                <w:b/>
                <w:sz w:val="20"/>
              </w:rPr>
              <w:t>登记依据</w:t>
            </w:r>
          </w:p>
        </w:tc>
      </w:tr>
      <w:tr>
        <w:tc>
          <w:tcPr>
            <w:tcW w:type="dxa" w:w="276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76" w:lineRule="auto"/>
              <w:jc w:val="left"/>
            </w:pPr>
            <w:r>
              <w:rPr>
                <w:b w:val="0"/>
                <w:sz w:val="20"/>
              </w:rPr>
              <w:t>云桥体育馆安置点</w:t>
            </w:r>
          </w:p>
        </w:tc>
        <w:tc>
          <w:tcPr>
            <w:tcW w:type="dxa" w:w="11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76" w:lineRule="auto"/>
              <w:jc w:val="center"/>
            </w:pPr>
            <w:r>
              <w:rPr>
                <w:b w:val="0"/>
                <w:sz w:val="20"/>
              </w:rPr>
              <w:t>600人</w:t>
            </w:r>
          </w:p>
        </w:tc>
        <w:tc>
          <w:tcPr>
            <w:tcW w:type="dxa" w:w="23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76" w:lineRule="auto"/>
              <w:jc w:val="left"/>
            </w:pPr>
            <w:r>
              <w:rPr>
                <w:b w:val="0"/>
                <w:sz w:val="20"/>
              </w:rPr>
              <w:t>柳溪供水站</w:t>
            </w:r>
          </w:p>
        </w:tc>
        <w:tc>
          <w:tcPr>
            <w:tcW w:type="dxa" w:w="39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76" w:lineRule="auto"/>
              <w:jc w:val="left"/>
            </w:pPr>
            <w:r>
              <w:rPr>
                <w:b w:val="0"/>
                <w:sz w:val="20"/>
              </w:rPr>
              <w:t>演练设施底册及当班登记</w:t>
            </w:r>
          </w:p>
        </w:tc>
      </w:tr>
      <w:tr>
        <w:tc>
          <w:tcPr>
            <w:tcW w:type="dxa" w:w="276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76" w:lineRule="auto"/>
              <w:jc w:val="left"/>
            </w:pPr>
            <w:r>
              <w:rPr>
                <w:b w:val="0"/>
                <w:sz w:val="20"/>
              </w:rPr>
              <w:t>城北中学安置点</w:t>
            </w:r>
          </w:p>
        </w:tc>
        <w:tc>
          <w:tcPr>
            <w:tcW w:type="dxa" w:w="11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76" w:lineRule="auto"/>
              <w:jc w:val="center"/>
            </w:pPr>
            <w:r>
              <w:rPr>
                <w:b w:val="0"/>
                <w:sz w:val="20"/>
              </w:rPr>
              <w:t>420人</w:t>
            </w:r>
          </w:p>
        </w:tc>
        <w:tc>
          <w:tcPr>
            <w:tcW w:type="dxa" w:w="23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76" w:lineRule="auto"/>
              <w:jc w:val="left"/>
            </w:pPr>
            <w:r>
              <w:rPr>
                <w:b w:val="0"/>
                <w:sz w:val="20"/>
              </w:rPr>
              <w:t>城北备用水井</w:t>
            </w:r>
          </w:p>
        </w:tc>
        <w:tc>
          <w:tcPr>
            <w:tcW w:type="dxa" w:w="39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76" w:lineRule="auto"/>
              <w:jc w:val="left"/>
            </w:pPr>
            <w:r>
              <w:rPr>
                <w:b w:val="0"/>
                <w:sz w:val="20"/>
              </w:rPr>
              <w:t>演练设施底册及当班登记</w:t>
            </w:r>
          </w:p>
        </w:tc>
      </w:tr>
    </w:tbl>
    <w:p>
      <w:pPr>
        <w:pStyle w:val="Heading1"/>
      </w:pPr>
      <w:r>
        <w:t>三 使用边界与待核事项</w:t>
      </w:r>
    </w:p>
    <w:p>
      <w:pPr>
        <w:ind w:firstLine="440"/>
      </w:pPr>
      <w:r>
        <w:t>云桥体育馆安置点的生活用水依赖柳溪供水站，底册登记的站点供水接入关系作为后续核查依据。现有材料没有给出该安置点独立备用水源的可用能力，不能据此假定备用保障已经落实。点内存水量、分发设施的可用状态以及可持续保障时长，应由现场人员另行核实并注明核查时间。</w:t>
      </w:r>
    </w:p>
    <w:p>
      <w:pPr>
        <w:ind w:firstLine="440"/>
      </w:pPr>
      <w:r>
        <w:t>城北中学安置点由城北备用水井供水。当前设施底册和当班登记未发现其依赖柳溪供水站的记录；这一表述仅说明本版掌握的设施关系，不等于证明城北中学安置点没有供水风险。备用水井的运行状态、水质检测及其他潜在关联仍须依照巡查记录核实，未取得确认前不得写成正常或安全。</w:t>
      </w:r>
    </w:p>
    <w:p>
      <w:pPr>
        <w:ind w:firstLine="440"/>
      </w:pPr>
      <w:r>
        <w:t>后续如发现接入关系变更，登记小组应保留原记录，以新版本注明变更依据和生效时点。各业务组引用本台账时应保留设施名称和记录时点；涉及运行异常的判断，应同时查阅相应设施的最新巡查材料。本版未记载任何供水车辆出发、到达或物资签收信息。</w:t>
      </w:r>
    </w:p>
    <w:sectPr w:rsidR="00FC693F" w:rsidRPr="0006063C" w:rsidSect="00034616">
      <w:footerReference w:type="default" r:id="rId9"/>
      <w:pgSz w:w="12240" w:h="15840"/>
      <w:pgMar w:top="907" w:right="1037" w:bottom="864" w:left="1037" w:header="720" w:footer="37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演示材料  |  </w:t>
    </w:r>
    <w:r>
      <w:rPr>
        <w:sz w:val="16"/>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307" w:lineRule="auto"/>
    </w:pPr>
    <w:rPr>
      <w:rFonts w:ascii="Songti SC" w:hAnsi="Songti SC" w:eastAsia="Songti SC" w:cs="Songti S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Heiti SC" w:hAnsi="Heiti SC" w:eastAsia="Heiti SC" w:cs="Heiti SC"/>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Songti SC" w:hAnsi="Songti SC" w:eastAsia="Songti SC" w:cs="Songti SC"/>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Heiti SC" w:hAnsi="Heiti SC" w:eastAsia="Heiti SC" w:cs="Heiti SC"/>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Heiti SC" w:hAnsi="Heiti SC" w:eastAsia="Heiti SC" w:cs="Heiti S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64" w:lineRule="auto"/>
      <w:contextualSpacing/>
    </w:pPr>
    <w:rPr>
      <w:rFonts w:asciiTheme="majorHAnsi" w:eastAsiaTheme="majorEastAsia" w:hAnsiTheme="majorHAnsi" w:cstheme="majorBidi" w:ascii="Heiti SC" w:hAnsi="Heiti SC" w:eastAsia="Heiti SC" w:cs="Heiti SC"/>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Heiti SC" w:hAnsi="Heiti SC" w:eastAsia="Heiti SC" w:cs="Heiti S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青岚县地震演练安置点设施台账</dc:title>
  <dc:subject>虚构演练材料，不代表真实灾情，不构成调度命令</dc:subject>
  <dc:creator>青岚县地震演练材料组（虚构）</dc:creator>
  <cp:keywords/>
  <dc:description/>
  <cp:lastModifiedBy/>
  <cp:revision>1</cp:revision>
  <dcterms:created xsi:type="dcterms:W3CDTF">2013-12-23T23:15:00Z</dcterms:created>
  <dcterms:modified xsi:type="dcterms:W3CDTF">2013-12-23T23:15:00Z</dcterms:modified>
  <cp:category/>
</cp:coreProperties>
</file>