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青岚县地震演练生活保障职责与工作指引</w:t>
      </w:r>
    </w:p>
    <w:p>
      <w:pPr>
        <w:spacing w:after="80"/>
        <w:jc w:val="center"/>
      </w:pPr>
      <w:r>
        <w:rPr>
          <w:sz w:val="18"/>
        </w:rPr>
        <w:t>编制单位：演练指挥协调组  |  指引编号：QL-BZ-0914-01</w:t>
      </w:r>
    </w:p>
    <w:p>
      <w:pPr>
        <w:spacing w:after="80"/>
        <w:jc w:val="center"/>
      </w:pPr>
      <w:r>
        <w:rPr>
          <w:sz w:val="18"/>
        </w:rPr>
        <w:t>版本 V1.0  |  适用起点：2026-09-14 08:00  |  适用范围：本次演练</w:t>
      </w:r>
    </w:p>
    <w:p>
      <w:pPr>
        <w:spacing w:before="60" w:after="160"/>
      </w:pPr>
      <w:r>
        <w:rPr>
          <w:sz w:val="18"/>
        </w:rPr>
        <w:t>演示材料  所有地名和业务记录均属虚构，不代表真实灾情，不构成调度命令。</w:t>
      </w:r>
    </w:p>
    <w:p>
      <w:r>
        <w:t>本指引用于明确演练中的生活用水保障职责及记录要求。保障工作应先核实现场条件，再提出可执行的临时供水安排；设施运行状态与安置点保障状态分别记录。本指引规定处理流程，不说明某一设施已发生异常，也不证明某项保障措施已经实施。</w:t>
      </w:r>
    </w:p>
    <w:p>
      <w:pPr>
        <w:pStyle w:val="Heading1"/>
      </w:pPr>
      <w:r>
        <w:t>一 职责分工</w:t>
      </w:r>
    </w:p>
    <w:p>
      <w:pPr>
        <w:ind w:firstLine="440"/>
      </w:pPr>
      <w:r>
        <w:t>县生活保障组负责云桥体育馆安置点的生活保障协调，汇总点内用水、库存和补充需求，组织核对保障条件，并向演练指挥协调组提交情况及拟办事项。点位名称应使用全称，保障对象不得因材料简称相近而被替换。</w:t>
      </w:r>
    </w:p>
    <w:p>
      <w:pPr>
        <w:ind w:firstLine="440"/>
      </w:pPr>
      <w:r>
        <w:t>供水巡查组负责柳溪供水站的运行巡查、状态核实和变化续报，说明设施状态的记录时点及恢复条件。巡查组提供设施侧事实，不以巡查记录代替安置点现场盘点，也不代替县生活保障组决定具体供水安排。</w:t>
      </w:r>
    </w:p>
    <w:p>
      <w:pPr>
        <w:pStyle w:val="Heading1"/>
      </w:pPr>
      <w:r>
        <w:t>二 临时供水前的核实事项</w:t>
      </w:r>
    </w:p>
    <w:p>
      <w:pPr>
        <w:ind w:firstLine="440"/>
      </w:pPr>
      <w:r>
        <w:t>县生活保障组在提出临时供水安排前，应核实点内实际库存及可取用状态，区分已入库、在途和仅列入计划的水量。库存持续时长如需估算，应同时注明测算依据，不能仅按登记人数推定库存已经不足或能够维持某一时段。</w:t>
      </w:r>
    </w:p>
    <w:p>
      <w:pPr>
        <w:ind w:firstLine="440"/>
      </w:pPr>
      <w:r>
        <w:t>运输核实应覆盖实际可用运力、取水点条件、通行情况和接收能力。水质核实应取得对应水源及使用环节的有效确认，不以供水恢复、运输获批或外观正常代替水质结论。库存、运输和水质条件未核清的部分，应分别列入待办事项并说明负责核实的业务组。</w:t>
      </w:r>
    </w:p>
    <w:p>
      <w:pPr>
        <w:pStyle w:val="Heading1"/>
      </w:pPr>
      <w:r>
        <w:t>三 安排与完成状态的记录</w:t>
      </w:r>
    </w:p>
    <w:p>
      <w:pPr>
        <w:ind w:firstLine="440"/>
      </w:pPr>
      <w:r>
        <w:t>县生活保障组在核实库存、运输和水质后，结合实际缺项提出临时供水安排，并按演练协调程序落实。安排记录应区分拟议、确认、执行和签收状态；只有取得相应凭据，才能写明车辆已出发、水已到点或已完成分发。指引没有指定车辆、运量和到达时刻。</w:t>
      </w:r>
    </w:p>
    <w:p>
      <w:pPr>
        <w:pStyle w:val="Heading1"/>
      </w:pPr>
      <w:r>
        <w:t>四 信息更新与待核管理</w:t>
      </w:r>
    </w:p>
    <w:p>
      <w:pPr>
        <w:ind w:firstLine="440"/>
      </w:pPr>
      <w:r>
        <w:t>保障记录应保留资料来源和有效时点。设施状态变化由供水巡查组续报，点内条件变化由县生活保障组汇总。遇到资料缺失或口径不一致，应先提出核实事项；报告可说明当前约束和下一步动作，但不得把待核条件写成既成事实。本指引不授权真实调度。</w:t>
      </w:r>
    </w:p>
    <w:sectPr w:rsidR="00FC693F" w:rsidRPr="0006063C" w:rsidSect="00034616">
      <w:footerReference w:type="default" r:id="rId9"/>
      <w:pgSz w:w="12240" w:h="15840"/>
      <w:pgMar w:top="907" w:right="1037" w:bottom="864" w:left="1037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演示材料  | 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307" w:lineRule="auto"/>
    </w:pPr>
    <w:rPr>
      <w:rFonts w:ascii="Songti SC" w:hAnsi="Songti SC" w:eastAsia="Songti SC" w:cs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 w:cs="Hei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 w:cs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64" w:lineRule="auto"/>
      <w:contextualSpacing/>
    </w:pPr>
    <w:rPr>
      <w:rFonts w:asciiTheme="majorHAnsi" w:eastAsiaTheme="majorEastAsia" w:hAnsiTheme="majorHAnsi" w:cstheme="majorBidi" w:ascii="Heiti SC" w:hAnsi="Heiti SC" w:eastAsia="Heiti SC" w:cs="Heiti S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eiti SC" w:hAnsi="Heiti SC" w:eastAsia="Heiti SC" w:cs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青岚县地震演练生活保障职责与工作指引</dc:title>
  <dc:subject>虚构演练材料，不代表真实灾情，不构成调度命令</dc:subject>
  <dc:creator>青岚县地震演练材料组（虚构）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