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 Unicode MS" w:hAnsi="Arial Unicode MS" w:eastAsia="Arial Unicode MS"/>
          <w:b/>
          <w:color w:val="173E75"/>
          <w:sz w:val="48"/>
        </w:rPr>
        <w:t>智慧流程中枢项目周报（演示版）</w:t>
      </w:r>
    </w:p>
    <w:p>
      <w:pPr>
        <w:jc w:val="center"/>
      </w:pPr>
      <w:r>
        <w:rPr>
          <w:rFonts w:ascii="Arial Unicode MS" w:hAnsi="Arial Unicode MS" w:eastAsia="Arial Unicode MS"/>
          <w:b w:val="0"/>
          <w:color w:val="475569"/>
          <w:sz w:val="22"/>
        </w:rPr>
        <w:t>报告周期：2026 年 4 月 27 日—5 月 3 日</w:t>
      </w:r>
    </w:p>
    <w:p>
      <w:pPr>
        <w:jc w:val="center"/>
      </w:pPr>
      <w:r>
        <w:rPr>
          <w:rFonts w:ascii="Arial Unicode MS" w:hAnsi="Arial Unicode MS" w:eastAsia="Arial Unicode MS"/>
          <w:b/>
          <w:color w:val="B45309"/>
          <w:sz w:val="20"/>
        </w:rPr>
        <w:t>演示数据，不代表国联集团真实经营数据。</w:t>
      </w:r>
    </w:p>
    <w:p>
      <w:pPr>
        <w:pStyle w:val="Heading1"/>
      </w:pPr>
      <w:r>
        <w:rPr>
          <w:rFonts w:ascii="Arial Unicode MS" w:hAnsi="Arial Unicode MS" w:eastAsia="Arial Unicode MS"/>
          <w:b/>
          <w:color w:val="173E75"/>
          <w:sz w:val="32"/>
        </w:rPr>
        <w:t>一、本周总体情况</w:t>
      </w:r>
    </w:p>
    <w:p>
      <w:pPr>
        <w:spacing w:after="100" w:line="300" w:lineRule="auto"/>
      </w:pPr>
      <w:r>
        <w:rPr>
          <w:rFonts w:ascii="Arial Unicode MS" w:hAnsi="Arial Unicode MS" w:eastAsia="Arial Unicode MS"/>
          <w:b w:val="0"/>
          <w:color w:val="1F2937"/>
          <w:sz w:val="21"/>
        </w:rPr>
        <w:t>项目整体进度 68%，需求梳理、流程建模和知识服务接口已完成阶段验收；NexusOne 部署处于集成联调阶段。</w:t>
      </w:r>
    </w:p>
    <w:p>
      <w:pPr>
        <w:spacing w:after="100" w:line="300" w:lineRule="auto"/>
      </w:pPr>
      <w:r>
        <w:rPr>
          <w:rFonts w:ascii="Arial Unicode MS" w:hAnsi="Arial Unicode MS" w:eastAsia="Arial Unicode MS"/>
          <w:b w:val="0"/>
          <w:color w:val="1F2937"/>
          <w:sz w:val="21"/>
        </w:rPr>
        <w:t>东方智造负责供应 NexusOne 部署所需的演示组件。供应商于 2026 年 4 月 28 日提示关键组件预计延期十个工作日。</w:t>
      </w:r>
    </w:p>
    <w:p>
      <w:pPr>
        <w:spacing w:after="100" w:line="300" w:lineRule="auto"/>
      </w:pPr>
      <w:r>
        <w:rPr>
          <w:rFonts w:ascii="Arial Unicode MS" w:hAnsi="Arial Unicode MS" w:eastAsia="Arial Unicode MS"/>
          <w:b w:val="0"/>
          <w:color w:val="1F2937"/>
          <w:sz w:val="21"/>
        </w:rPr>
        <w:t>项目管理办公室将该事项标记为高风险，要求数字化管理部牵头形成替代方案，风险管理部持续跟踪。</w:t>
      </w:r>
    </w:p>
    <w:p>
      <w:pPr>
        <w:pStyle w:val="Heading1"/>
      </w:pPr>
      <w:r>
        <w:rPr>
          <w:rFonts w:ascii="Arial Unicode MS" w:hAnsi="Arial Unicode MS" w:eastAsia="Arial Unicode MS"/>
          <w:b/>
          <w:color w:val="173E75"/>
          <w:sz w:val="32"/>
        </w:rPr>
        <w:t>二、里程碑与责任分工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vAlign w:val="center"/>
            <w:shd w:fill="2456A6"/>
          </w:tcPr>
          <w:p>
            <w:pPr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里程碑</w:t>
            </w:r>
          </w:p>
        </w:tc>
        <w:tc>
          <w:tcPr>
            <w:tcW w:type="dxa" w:w="1994"/>
            <w:vAlign w:val="center"/>
            <w:shd w:fill="2456A6"/>
          </w:tcPr>
          <w:p>
            <w:pPr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计划日期</w:t>
            </w:r>
          </w:p>
        </w:tc>
        <w:tc>
          <w:tcPr>
            <w:tcW w:type="dxa" w:w="1994"/>
            <w:vAlign w:val="center"/>
            <w:shd w:fill="2456A6"/>
          </w:tcPr>
          <w:p>
            <w:pPr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当前状态</w:t>
            </w:r>
          </w:p>
        </w:tc>
        <w:tc>
          <w:tcPr>
            <w:tcW w:type="dxa" w:w="1994"/>
            <w:vAlign w:val="center"/>
            <w:shd w:fill="2456A6"/>
          </w:tcPr>
          <w:p>
            <w:pPr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责任部门</w:t>
            </w:r>
          </w:p>
        </w:tc>
        <w:tc>
          <w:tcPr>
            <w:tcW w:type="dxa" w:w="1994"/>
            <w:vAlign w:val="center"/>
            <w:shd w:fill="2456A6"/>
          </w:tcPr>
          <w:p>
            <w:pPr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本周结论</w:t>
            </w:r>
          </w:p>
        </w:tc>
      </w:tr>
      <w:tr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制度与流程梳理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2026-03-31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已完成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集团采购管理部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形成 18 条关键控制规则</w:t>
            </w:r>
          </w:p>
        </w:tc>
      </w:tr>
      <w:tr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核心流程配置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2026-04-30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已完成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数字化管理部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采购、合同和用印流程已联调</w:t>
            </w:r>
          </w:p>
        </w:tc>
      </w:tr>
      <w:tr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NexusOne 集成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2026-05-20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有风险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项目管理办公室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受供应商交付延期影响</w:t>
            </w:r>
          </w:p>
        </w:tc>
      </w:tr>
      <w:tr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试运行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2026-06-15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待开始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数字科技公司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需要在 5 月 15 日前确认替代方案</w:t>
            </w:r>
          </w:p>
        </w:tc>
      </w:tr>
    </w:tbl>
    <w:p>
      <w:pPr>
        <w:sectPr>
          <w:headerReference w:type="default" r:id="rId9"/>
          <w:footerReference w:type="default" r:id="rId10"/>
          <w:pgSz w:w="12240" w:h="15840"/>
          <w:pgMar w:top="1020" w:right="1134" w:bottom="907" w:left="1134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rFonts w:ascii="Arial Unicode MS" w:hAnsi="Arial Unicode MS" w:eastAsia="Arial Unicode MS"/>
          <w:b/>
          <w:color w:val="173E75"/>
          <w:sz w:val="32"/>
        </w:rPr>
        <w:t>三、风险与行动项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vAlign w:val="center"/>
            <w:shd w:fill="2456A6"/>
          </w:tcPr>
          <w:p>
            <w:pPr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风险</w:t>
            </w:r>
          </w:p>
        </w:tc>
        <w:tc>
          <w:tcPr>
            <w:tcW w:type="dxa" w:w="1662"/>
            <w:vAlign w:val="center"/>
            <w:shd w:fill="2456A6"/>
          </w:tcPr>
          <w:p>
            <w:pPr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等级</w:t>
            </w:r>
          </w:p>
        </w:tc>
        <w:tc>
          <w:tcPr>
            <w:tcW w:type="dxa" w:w="1662"/>
            <w:vAlign w:val="center"/>
            <w:shd w:fill="2456A6"/>
          </w:tcPr>
          <w:p>
            <w:pPr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影响对象</w:t>
            </w:r>
          </w:p>
        </w:tc>
        <w:tc>
          <w:tcPr>
            <w:tcW w:type="dxa" w:w="1662"/>
            <w:vAlign w:val="center"/>
            <w:shd w:fill="2456A6"/>
          </w:tcPr>
          <w:p>
            <w:pPr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责任部门</w:t>
            </w:r>
          </w:p>
        </w:tc>
        <w:tc>
          <w:tcPr>
            <w:tcW w:type="dxa" w:w="1662"/>
            <w:vAlign w:val="center"/>
            <w:shd w:fill="2456A6"/>
          </w:tcPr>
          <w:p>
            <w:pPr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完成时限</w:t>
            </w:r>
          </w:p>
        </w:tc>
        <w:tc>
          <w:tcPr>
            <w:tcW w:type="dxa" w:w="1662"/>
            <w:vAlign w:val="center"/>
            <w:shd w:fill="2456A6"/>
          </w:tcPr>
          <w:p>
            <w:pPr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处置要求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东方智造交付延期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高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NexusOne、智慧流程中枢项目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数字化管理部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2026-05-15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确认替代供应与分批交付方案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统一身份组件维护窗口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中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集团数据交换平台、智慧流程中枢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数字化管理部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2026-09-10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完成维护影响评估与回退预案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采购审批记录待补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中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DEMO-PO-2026-002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集团采购管理部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2026-05-08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补齐审批依据并形成审计记录</w:t>
            </w:r>
          </w:p>
        </w:tc>
      </w:tr>
    </w:tbl>
    <w:p>
      <w:pPr>
        <w:pStyle w:val="Heading1"/>
      </w:pPr>
      <w:r>
        <w:rPr>
          <w:rFonts w:ascii="Arial Unicode MS" w:hAnsi="Arial Unicode MS" w:eastAsia="Arial Unicode MS"/>
          <w:b/>
          <w:color w:val="173E75"/>
          <w:sz w:val="32"/>
        </w:rPr>
        <w:t>四、跨系统依赖</w:t>
      </w:r>
    </w:p>
    <w:p>
      <w:pPr>
        <w:pStyle w:val="ListBullet"/>
        <w:spacing w:after="100" w:line="300" w:lineRule="auto"/>
      </w:pPr>
      <w:r>
        <w:rPr>
          <w:rFonts w:ascii="Arial Unicode MS" w:hAnsi="Arial Unicode MS" w:eastAsia="Arial Unicode MS"/>
          <w:b w:val="0"/>
          <w:color w:val="1F2937"/>
          <w:sz w:val="21"/>
        </w:rPr>
        <w:t>智慧流程中枢依赖集团数据交换平台完成采购、合同和审批数据交换。</w:t>
      </w:r>
    </w:p>
    <w:p>
      <w:pPr>
        <w:pStyle w:val="ListBullet"/>
        <w:spacing w:after="100" w:line="300" w:lineRule="auto"/>
      </w:pPr>
      <w:r>
        <w:rPr>
          <w:rFonts w:ascii="Arial Unicode MS" w:hAnsi="Arial Unicode MS" w:eastAsia="Arial Unicode MS"/>
          <w:b w:val="0"/>
          <w:color w:val="1F2937"/>
          <w:sz w:val="21"/>
        </w:rPr>
        <w:t>集团数据交换平台使用统一身份组件进行用户身份校验。</w:t>
      </w:r>
    </w:p>
    <w:p>
      <w:pPr>
        <w:pStyle w:val="ListBullet"/>
        <w:spacing w:after="100" w:line="300" w:lineRule="auto"/>
      </w:pPr>
      <w:r>
        <w:rPr>
          <w:rFonts w:ascii="Arial Unicode MS" w:hAnsi="Arial Unicode MS" w:eastAsia="Arial Unicode MS"/>
          <w:b w:val="0"/>
          <w:color w:val="1F2937"/>
          <w:sz w:val="21"/>
        </w:rPr>
        <w:t>NexusOne 为智慧流程中枢提供语义建模、知识检索和智能问答能力。</w:t>
      </w:r>
    </w:p>
    <w:p>
      <w:pPr>
        <w:pStyle w:val="ListBullet"/>
        <w:spacing w:after="100" w:line="300" w:lineRule="auto"/>
      </w:pPr>
      <w:r>
        <w:rPr>
          <w:rFonts w:ascii="Arial Unicode MS" w:hAnsi="Arial Unicode MS" w:eastAsia="Arial Unicode MS"/>
          <w:b w:val="0"/>
          <w:color w:val="1F2937"/>
          <w:sz w:val="21"/>
        </w:rPr>
        <w:t>上述关系应进入知识图谱，并保留本周报作为来源证据。</w:t>
      </w:r>
    </w:p>
    <w:p>
      <w:pPr>
        <w:pStyle w:val="Heading1"/>
      </w:pPr>
      <w:r>
        <w:rPr>
          <w:rFonts w:ascii="Arial Unicode MS" w:hAnsi="Arial Unicode MS" w:eastAsia="Arial Unicode MS"/>
          <w:b/>
          <w:color w:val="173E75"/>
          <w:sz w:val="32"/>
        </w:rPr>
        <w:t>五、下周计划</w:t>
      </w:r>
    </w:p>
    <w:p>
      <w:pPr>
        <w:pStyle w:val="ListBullet"/>
        <w:spacing w:after="100" w:line="300" w:lineRule="auto"/>
      </w:pPr>
      <w:r>
        <w:rPr>
          <w:rFonts w:ascii="Arial Unicode MS" w:hAnsi="Arial Unicode MS" w:eastAsia="Arial Unicode MS"/>
          <w:b w:val="0"/>
          <w:color w:val="1F2937"/>
          <w:sz w:val="21"/>
        </w:rPr>
        <w:t>数字化管理部在 5 月 8 日前取得东方智造分批交付承诺。</w:t>
      </w:r>
    </w:p>
    <w:p>
      <w:pPr>
        <w:pStyle w:val="ListBullet"/>
        <w:spacing w:after="100" w:line="300" w:lineRule="auto"/>
      </w:pPr>
      <w:r>
        <w:rPr>
          <w:rFonts w:ascii="Arial Unicode MS" w:hAnsi="Arial Unicode MS" w:eastAsia="Arial Unicode MS"/>
          <w:b w:val="0"/>
          <w:color w:val="1F2937"/>
          <w:sz w:val="21"/>
        </w:rPr>
        <w:t>项目管理办公室在 5 月 12 日前完成 NexusOne 替代方案评估。</w:t>
      </w:r>
    </w:p>
    <w:p>
      <w:pPr>
        <w:pStyle w:val="ListBullet"/>
        <w:spacing w:after="100" w:line="300" w:lineRule="auto"/>
      </w:pPr>
      <w:r>
        <w:rPr>
          <w:rFonts w:ascii="Arial Unicode MS" w:hAnsi="Arial Unicode MS" w:eastAsia="Arial Unicode MS"/>
          <w:b w:val="0"/>
          <w:color w:val="1F2937"/>
          <w:sz w:val="21"/>
        </w:rPr>
        <w:t>风险管理部每周更新供应商风险状态，并检查其影响路径。</w:t>
      </w:r>
    </w:p>
    <w:p>
      <w:pPr>
        <w:pStyle w:val="ListBullet"/>
        <w:spacing w:after="100" w:line="300" w:lineRule="auto"/>
      </w:pPr>
      <w:r>
        <w:rPr>
          <w:rFonts w:ascii="Arial Unicode MS" w:hAnsi="Arial Unicode MS" w:eastAsia="Arial Unicode MS"/>
          <w:b w:val="0"/>
          <w:color w:val="1F2937"/>
          <w:sz w:val="21"/>
        </w:rPr>
        <w:t>采购管理部补齐已执行订单的审批记录，确保采购流程可追溯。</w:t>
      </w:r>
    </w:p>
    <w:p>
      <w:pPr>
        <w:pStyle w:val="Heading1"/>
      </w:pPr>
      <w:r>
        <w:rPr>
          <w:rFonts w:ascii="Arial Unicode MS" w:hAnsi="Arial Unicode MS" w:eastAsia="Arial Unicode MS"/>
          <w:b/>
          <w:color w:val="173E75"/>
          <w:sz w:val="32"/>
        </w:rPr>
        <w:t>附录：可核验事实</w:t>
      </w:r>
    </w:p>
    <w:p>
      <w:pPr>
        <w:spacing w:after="100" w:line="300" w:lineRule="auto"/>
      </w:pPr>
      <w:r>
        <w:rPr>
          <w:rFonts w:ascii="Arial Unicode MS" w:hAnsi="Arial Unicode MS" w:eastAsia="Arial Unicode MS"/>
          <w:b w:val="0"/>
          <w:color w:val="1F2937"/>
          <w:sz w:val="21"/>
        </w:rPr>
        <w:t>事实 A：东方智造（演示）供应 NexusOne。</w:t>
      </w:r>
    </w:p>
    <w:p>
      <w:pPr>
        <w:spacing w:after="100" w:line="300" w:lineRule="auto"/>
      </w:pPr>
      <w:r>
        <w:rPr>
          <w:rFonts w:ascii="Arial Unicode MS" w:hAnsi="Arial Unicode MS" w:eastAsia="Arial Unicode MS"/>
          <w:b w:val="0"/>
          <w:color w:val="1F2937"/>
          <w:sz w:val="21"/>
        </w:rPr>
        <w:t>事实 B：NexusOne 用于智慧流程中枢项目（演示）。</w:t>
      </w:r>
    </w:p>
    <w:p>
      <w:pPr>
        <w:spacing w:after="100" w:line="300" w:lineRule="auto"/>
      </w:pPr>
      <w:r>
        <w:rPr>
          <w:rFonts w:ascii="Arial Unicode MS" w:hAnsi="Arial Unicode MS" w:eastAsia="Arial Unicode MS"/>
          <w:b w:val="0"/>
          <w:color w:val="1F2937"/>
          <w:sz w:val="21"/>
        </w:rPr>
        <w:t>事实 C：智慧流程中枢项目由数字科技公司（演示）的项目管理办公室负责。</w:t>
      </w:r>
    </w:p>
    <w:p>
      <w:pPr>
        <w:spacing w:after="100" w:line="300" w:lineRule="auto"/>
      </w:pPr>
      <w:r>
        <w:rPr>
          <w:rFonts w:ascii="Arial Unicode MS" w:hAnsi="Arial Unicode MS" w:eastAsia="Arial Unicode MS"/>
          <w:b w:val="0"/>
          <w:color w:val="1F2937"/>
          <w:sz w:val="21"/>
        </w:rPr>
        <w:t>事实 D：东方智造（演示）存在交付延期风险。</w:t>
      </w:r>
    </w:p>
    <w:p>
      <w:pPr>
        <w:spacing w:after="100" w:line="300" w:lineRule="auto"/>
      </w:pPr>
      <w:r>
        <w:rPr>
          <w:rFonts w:ascii="Arial Unicode MS" w:hAnsi="Arial Unicode MS" w:eastAsia="Arial Unicode MS"/>
          <w:b w:val="0"/>
          <w:color w:val="1F2937"/>
          <w:sz w:val="21"/>
        </w:rPr>
        <w:t>这些事实用于演示全文、向量、图谱检索和可追溯规则推演，不能视为真实集团经营信息。</w:t>
      </w:r>
    </w:p>
    <w:sectPr w:rsidR="00FC693F" w:rsidRPr="0006063C" w:rsidSect="00034616">
      <w:pgSz w:w="12240" w:h="15840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 Unicode MS" w:hAnsi="Arial Unicode MS" w:eastAsia="Arial Unicode MS"/>
        <w:b w:val="0"/>
        <w:color w:val="9A3412"/>
        <w:sz w:val="17"/>
      </w:rPr>
      <w:t>演示数据，不代表国联集团真实经营数据。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 Unicode MS" w:hAnsi="Arial Unicode MS" w:eastAsia="Arial Unicode MS"/>
        <w:b w:val="0"/>
        <w:color w:val="64748B"/>
        <w:sz w:val="18"/>
      </w:rPr>
      <w:t>传神智库 · 客户演示材料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Unicode MS" w:hAnsi="Arial Unicode MS" w:eastAsia="Arial Unicode M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 Unicode MS" w:hAnsi="Arial Unicode MS" w:eastAsia="Arial Unicode MS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