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spacing w:lineRule="auto" w:line="360" w:beforeAutospacing="0" w:afterAutospacing="0"/>
        <w:ind w:left="210" w:leftChars="100"/>
        <w:jc w:val="center"/>
        <w:rPr>
          <w:rFonts w:ascii="微软雅黑" w:cs="Times New Roman" w:eastAsia="微软雅黑" w:hAnsi="微软雅黑" w:hint="default"/>
          <w:sz w:val="40"/>
          <w:szCs w:val="40"/>
          <w:highlight w:val="darkGray"/>
          <w:lang w:val="en-US" w:eastAsia="zh-CN"/>
        </w:rPr>
      </w:pPr>
      <w:r>
        <w:rPr>
          <w:rFonts w:ascii="微软雅黑" w:cs="Times New Roman" w:eastAsia="微软雅黑" w:hAnsi="微软雅黑" w:hint="eastAsia"/>
          <w:sz w:val="40"/>
          <w:szCs w:val="40"/>
          <w:highlight w:val="darkGray"/>
        </w:rPr>
        <w:t xml:space="preserve">ConST </w:t>
      </w:r>
      <w:r>
        <w:rPr>
          <w:rFonts w:ascii="微软雅黑" w:cs="Times New Roman" w:eastAsia="微软雅黑" w:hAnsi="微软雅黑" w:hint="eastAsia"/>
          <w:sz w:val="40"/>
          <w:szCs w:val="40"/>
          <w:highlight w:val="darkGray"/>
          <w:lang w:val="en-US" w:eastAsia="zh-CN"/>
        </w:rPr>
        <w:t xml:space="preserve">MCU </w:t>
      </w:r>
      <w:r>
        <w:rPr>
          <w:rFonts w:ascii="微软雅黑" w:cs="Times New Roman" w:eastAsia="微软雅黑" w:hAnsi="微软雅黑" w:hint="eastAsia"/>
          <w:sz w:val="40"/>
          <w:szCs w:val="40"/>
          <w:highlight w:val="darkGray"/>
        </w:rPr>
        <w:t>Bootloader</w:t>
      </w:r>
      <w:r>
        <w:rPr>
          <w:rFonts w:ascii="微软雅黑" w:cs="Times New Roman" w:eastAsia="微软雅黑" w:hAnsi="微软雅黑" w:hint="eastAsia"/>
          <w:sz w:val="40"/>
          <w:szCs w:val="40"/>
          <w:highlight w:val="darkGray"/>
          <w:lang w:val="en-US" w:eastAsia="zh-CN"/>
        </w:rPr>
        <w:t>升级流程规范</w:t>
      </w:r>
    </w:p>
    <w:p/>
    <w:p/>
    <w:p/>
    <w:p/>
    <w:p/>
    <w:p/>
    <w:p/>
    <w:p/>
    <w:p/>
    <w:p/>
    <w:p/>
    <w:p/>
    <w:p/>
    <w:p/>
    <w:p/>
    <w:tbl>
      <w:tblPr>
        <w:tblStyle w:val="8"/>
        <w:tblW w:w="0" w:type="auto"/>
        <w:tblInd w:w="0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936"/>
        <w:gridCol w:w="4586"/>
      </w:tblGrid>
      <w:tr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/>
        <w:tc>
          <w:tcPr>
            <w:tcW w:w="3936" w:type="dxa"/>
          </w:tcPr>
          <w:p>
            <w:pPr>
              <w:jc w:val="right"/>
              <w:rPr>
                <w:rFonts w:ascii="华文仿宋" w:eastAsia="华文仿宋" w:hAnsi="华文仿宋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文档版本：</w:t>
            </w:r>
          </w:p>
        </w:tc>
        <w:tc>
          <w:tcPr>
            <w:tcW w:w="4586" w:type="dxa"/>
          </w:tcPr>
          <w:p>
            <w:pPr>
              <w:ind w:left="420" w:leftChars="200"/>
              <w:jc w:val="left"/>
              <w:rPr>
                <w:rFonts w:ascii="华文仿宋" w:eastAsia="华文仿宋" w:hAnsi="华文仿宋" w:hint="eastAsia"/>
                <w:sz w:val="24"/>
                <w:szCs w:val="24"/>
                <w:lang w:val="en-US" w:eastAsia="zh-CN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0.</w:t>
            </w:r>
            <w:r>
              <w:rPr>
                <w:rFonts w:ascii="华文仿宋" w:eastAsia="华文仿宋" w:hAnsi="华文仿宋"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/>
        <w:tc>
          <w:tcPr>
            <w:tcW w:w="3936" w:type="dxa"/>
          </w:tcPr>
          <w:p>
            <w:pPr>
              <w:jc w:val="right"/>
              <w:rPr>
                <w:rFonts w:ascii="华文仿宋" w:eastAsia="华文仿宋" w:hAnsi="华文仿宋"/>
                <w:sz w:val="24"/>
                <w:szCs w:val="24"/>
              </w:rPr>
            </w:pPr>
            <w:r>
              <w:rPr>
                <w:rFonts w:ascii="华文仿宋" w:eastAsia="华文仿宋" w:hAnsi="华文仿宋"/>
                <w:sz w:val="24"/>
                <w:szCs w:val="24"/>
              </w:rPr>
              <w:t>起草时间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 xml:space="preserve">： </w:t>
            </w:r>
          </w:p>
        </w:tc>
        <w:tc>
          <w:tcPr>
            <w:tcW w:w="4586" w:type="dxa"/>
          </w:tcPr>
          <w:p>
            <w:pPr>
              <w:ind w:left="420" w:leftChars="200"/>
              <w:jc w:val="left"/>
              <w:rPr>
                <w:rFonts w:ascii="华文仿宋" w:eastAsia="华文仿宋" w:hAnsi="华文仿宋" w:hint="default"/>
                <w:sz w:val="24"/>
                <w:szCs w:val="24"/>
                <w:lang w:val="en-US" w:eastAsia="zh-CN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202</w:t>
            </w:r>
            <w:r>
              <w:rPr>
                <w:rFonts w:ascii="华文仿宋" w:eastAsia="华文仿宋" w:hAnsi="华文仿宋"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.</w:t>
            </w:r>
            <w:r>
              <w:rPr>
                <w:rFonts w:ascii="华文仿宋" w:eastAsia="华文仿宋" w:hAnsi="华文仿宋" w:hint="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华文仿宋" w:eastAsia="华文仿宋" w:hAnsi="华文仿宋" w:hint="eastAsia"/>
                <w:sz w:val="24"/>
                <w:szCs w:val="24"/>
              </w:rPr>
              <w:t>.</w:t>
            </w:r>
            <w:r>
              <w:rPr>
                <w:rFonts w:ascii="华文仿宋" w:eastAsia="华文仿宋" w:hAnsi="华文仿宋" w:hint="eastAsia"/>
                <w:sz w:val="24"/>
                <w:szCs w:val="24"/>
                <w:lang w:val="en-US" w:eastAsia="zh-CN"/>
              </w:rPr>
              <w:t>09</w:t>
            </w:r>
          </w:p>
        </w:tc>
      </w:tr>
      <w:tr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/>
        <w:tc>
          <w:tcPr>
            <w:tcW w:w="3936" w:type="dxa"/>
          </w:tcPr>
          <w:p>
            <w:pPr>
              <w:jc w:val="right"/>
              <w:rPr>
                <w:rFonts w:ascii="华文仿宋" w:eastAsia="华文仿宋" w:hAnsi="华文仿宋"/>
                <w:sz w:val="24"/>
                <w:szCs w:val="24"/>
              </w:rPr>
            </w:pPr>
            <w:r>
              <w:rPr>
                <w:rFonts w:ascii="华文仿宋" w:eastAsia="华文仿宋" w:hAnsi="华文仿宋" w:hint="eastAsia"/>
                <w:sz w:val="24"/>
                <w:szCs w:val="24"/>
              </w:rPr>
              <w:t>起草人：</w:t>
            </w:r>
          </w:p>
        </w:tc>
        <w:tc>
          <w:tcPr>
            <w:tcW w:w="4586" w:type="dxa"/>
          </w:tcPr>
          <w:p>
            <w:pPr>
              <w:ind w:left="420" w:leftChars="200"/>
              <w:jc w:val="left"/>
              <w:rPr>
                <w:rFonts w:ascii="华文仿宋" w:eastAsia="华文仿宋" w:hAnsi="华文仿宋"/>
                <w:sz w:val="24"/>
                <w:szCs w:val="24"/>
              </w:rPr>
            </w:pPr>
          </w:p>
        </w:tc>
      </w:tr>
    </w:tbl>
    <w:p/>
    <w:p/>
    <w:p/>
    <w:p>
      <w:pPr>
        <w:sectPr>
          <w:headerReference w:type="default" r:id="rId9"/>
          <w:pgSz w:w="11906" w:h="16838"/>
          <w:pgMar w:right="1800" w:left="1800" w:top="1440" w:bottom="1440" w:header="851" w:footer="992" w:gutter="0"/>
          <w:cols w:num="1" w:space="425"/>
          <w:docGrid w:type="lines" w:linePitch="312" w:charSpace="0"/>
        </w:sectPr>
      </w:pPr>
    </w:p>
    <w:tbl>
      <w:tblPr>
        <w:tblStyle w:val="7"/>
        <w:tblpPr w:horzAnchor="margin" w:vertAnchor="page" w:tblpY="2775" w:leftFromText="180" w:rightFromText="180"/>
        <w:tblW w:w="8533" w:type="dxa"/>
        <w:tblInd w:w="0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0" w:space="0" w:color="auto"/>
          <w:insideV w:val="nil" w:sz="0" w:space="0" w:color="auto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668"/>
        <w:gridCol w:w="3969"/>
        <w:gridCol w:w="1559"/>
        <w:gridCol w:w="1337"/>
      </w:tblGrid>
      <w:tr>
        <w:tblPrEx>
          <w:tblBorders>
            <w:top w:val="single" w:sz="8" w:space="0" w:color="4F81BD"/>
            <w:left w:val="single" w:sz="8" w:space="0" w:color="4F81BD"/>
            <w:bottom w:val="single" w:sz="8" w:space="0" w:color="4F81BD"/>
            <w:right w:val="single" w:sz="8" w:space="0" w:color="4F81BD"/>
            <w:insideH w:val="nil" w:sz="0" w:space="0" w:color="auto"/>
            <w:insideV w:val="nil" w:sz="0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52" w:hRule="atLeast"/>
        </w:trPr>
        <w:tc>
          <w:tcPr>
            <w:tcW w:w="1668" w:type="dxa"/>
            <w:tcBorders>
              <w:left w:val="single" w:sz="4" w:space="0" w:color="8DB3E2"/>
              <w:right w:val="single" w:sz="4" w:space="0" w:color="8DB3E2"/>
            </w:tcBorders>
            <w:shd w:fill="4F81BD" w:color="auto" w:val="clear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w="3969" w:type="dxa"/>
            <w:tcBorders>
              <w:left w:val="single" w:sz="4" w:space="0" w:color="8DB3E2"/>
              <w:right w:val="single" w:sz="4" w:space="0" w:color="8DB3E2"/>
            </w:tcBorders>
            <w:shd w:fill="4F81BD" w:color="auto" w:val="clear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修改内容</w:t>
            </w:r>
          </w:p>
        </w:tc>
        <w:tc>
          <w:tcPr>
            <w:tcW w:w="1559" w:type="dxa"/>
            <w:tcBorders>
              <w:left w:val="single" w:sz="4" w:space="0" w:color="8DB3E2"/>
              <w:right w:val="single" w:sz="4" w:space="0" w:color="8DB3E2"/>
            </w:tcBorders>
            <w:shd w:fill="4F81BD" w:color="auto" w:val="clear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修改人</w:t>
            </w:r>
          </w:p>
        </w:tc>
        <w:tc>
          <w:tcPr>
            <w:tcW w:w="1337" w:type="dxa"/>
            <w:tcBorders>
              <w:left w:val="single" w:sz="4" w:space="0" w:color="8DB3E2"/>
              <w:right w:val="single" w:sz="4" w:space="0" w:color="8DB3E2"/>
            </w:tcBorders>
            <w:shd w:fill="4F81BD" w:color="auto" w:val="clear"/>
            <w:vAlign w:val="center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修改时间</w:t>
            </w:r>
          </w:p>
        </w:tc>
      </w:tr>
      <w:tr>
        <w:tblPrEx>
          <w:tblBorders>
            <w:top w:val="single" w:sz="8" w:space="0" w:color="4F81BD"/>
            <w:left w:val="single" w:sz="8" w:space="0" w:color="4F81BD"/>
            <w:bottom w:val="single" w:sz="8" w:space="0" w:color="4F81BD"/>
            <w:right w:val="single" w:sz="8" w:space="0" w:color="4F81BD"/>
            <w:insideH w:val="nil" w:sz="0" w:space="0" w:color="auto"/>
            <w:insideV w:val="nil" w:sz="0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67" w:hRule="atLeast"/>
        </w:trPr>
        <w:tc>
          <w:tcPr>
            <w:tcW w:w="1668" w:type="dxa"/>
            <w:tcBorders>
              <w:top w:val="single" w:sz="8" w:space="0" w:color="4F81BD"/>
              <w:left w:val="single" w:sz="4" w:space="0" w:color="8DB3E2"/>
              <w:bottom w:val="single" w:sz="8" w:space="0" w:color="4F81BD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eastAsia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b/>
                <w:sz w:val="24"/>
                <w:szCs w:val="24"/>
              </w:rPr>
              <w:t>V</w:t>
            </w:r>
            <w:r>
              <w:rPr>
                <w:rFonts w:hint="eastAsia"/>
                <w:b/>
                <w:sz w:val="24"/>
                <w:szCs w:val="24"/>
              </w:rPr>
              <w:t>0.</w:t>
            </w: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4" w:space="0" w:color="8DB3E2"/>
              <w:bottom w:val="single" w:sz="8" w:space="0" w:color="4F81BD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基于CPPI V3报文的MCU升级流程规范</w:t>
            </w:r>
          </w:p>
        </w:tc>
        <w:tc>
          <w:tcPr>
            <w:tcW w:w="1559" w:type="dxa"/>
            <w:tcBorders>
              <w:top w:val="single" w:sz="8" w:space="0" w:color="4F81BD"/>
              <w:left w:val="single" w:sz="4" w:space="0" w:color="8DB3E2"/>
              <w:bottom w:val="single" w:sz="8" w:space="0" w:color="4F81BD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程源</w:t>
            </w:r>
          </w:p>
        </w:tc>
        <w:tc>
          <w:tcPr>
            <w:tcW w:w="1337" w:type="dxa"/>
            <w:tcBorders>
              <w:top w:val="single" w:sz="8" w:space="0" w:color="4F81BD"/>
              <w:left w:val="single" w:sz="4" w:space="0" w:color="8DB3E2"/>
              <w:bottom w:val="single" w:sz="8" w:space="0" w:color="4F81BD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202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</w:t>
            </w:r>
          </w:p>
        </w:tc>
      </w:tr>
      <w:tr>
        <w:tblPrEx>
          <w:tblBorders>
            <w:top w:val="single" w:sz="8" w:space="0" w:color="4F81BD"/>
            <w:left w:val="single" w:sz="8" w:space="0" w:color="4F81BD"/>
            <w:bottom w:val="single" w:sz="8" w:space="0" w:color="4F81BD"/>
            <w:right w:val="single" w:sz="8" w:space="0" w:color="4F81BD"/>
            <w:insideH w:val="nil" w:sz="0" w:space="0" w:color="auto"/>
            <w:insideV w:val="nil" w:sz="0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67" w:hRule="atLeast"/>
        </w:trPr>
        <w:tc>
          <w:tcPr>
            <w:tcW w:w="1668" w:type="dxa"/>
            <w:tcBorders>
              <w:top w:val="single" w:sz="8" w:space="0" w:color="4F81BD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default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V0.2</w:t>
            </w:r>
          </w:p>
        </w:tc>
        <w:tc>
          <w:tcPr>
            <w:tcW w:w="3969" w:type="dxa"/>
            <w:tcBorders>
              <w:top w:val="single" w:sz="8" w:space="0" w:color="4F81BD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修改升级方式，增加离线自主式</w:t>
            </w:r>
            <w:bookmarkStart w:name="_GoBack" w:id="0"/>
            <w:bookmarkEnd w:id="0"/>
          </w:p>
        </w:tc>
        <w:tc>
          <w:tcPr>
            <w:tcW w:w="1559" w:type="dxa"/>
            <w:tcBorders>
              <w:top w:val="single" w:sz="8" w:space="0" w:color="4F81BD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程源</w:t>
            </w:r>
          </w:p>
        </w:tc>
        <w:tc>
          <w:tcPr>
            <w:tcW w:w="1337" w:type="dxa"/>
            <w:tcBorders>
              <w:top w:val="single" w:sz="8" w:space="0" w:color="4F81BD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fill="auto" w:color="auto" w:val="clear"/>
            <w:vAlign w:val="center"/>
          </w:tcPr>
          <w:p>
            <w:pPr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2023-5-15</w:t>
            </w:r>
          </w:p>
        </w:tc>
      </w:tr>
    </w:tbl>
    <w:p>
      <w:pPr>
        <w:pStyle w:val="2"/>
        <w:spacing w:lineRule="auto" w:line="360" w:before="0" w:after="0" w:beforeAutospacing="0" w:afterAutospacing="0"/>
      </w:pPr>
      <w:r>
        <w:t>修改记录</w:t>
      </w:r>
    </w:p>
    <w:p>
      <w:r>
        <w:tab/>
      </w:r>
    </w:p>
    <w:p>
      <w:pPr>
        <w:sectPr>
          <w:pgSz w:w="11906" w:h="16838"/>
          <w:pgMar w:right="1800" w:left="1800" w:top="1440" w:bottom="1440" w:header="851" w:footer="992" w:gutter="0"/>
          <w:cols w:num="1" w:space="425"/>
          <w:docGrid w:type="lines" w:linePitch="312" w:charSpace="0"/>
        </w:sectPr>
      </w:pPr>
    </w:p>
    <w:p>
      <w:pPr>
        <w:pStyle w:val="2"/>
      </w:pPr>
      <w:r>
        <w:rPr>
          <w:rFonts w:hint="eastAsia"/>
        </w:rPr>
        <w:t>1. 目的</w:t>
      </w:r>
    </w:p>
    <w:p>
      <w:pPr>
        <w:spacing w:lineRule="auto" w:line="360" w:beforeAutospacing="0" w:afterAutospacing="0"/>
        <w:ind w:firstLine="480" w:firstLineChars="200"/>
        <w:rPr>
          <w:rFonts w:eastAsiaTheme="minor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由于公司很多研发产品有多板卡的应用场景，Const Bootloader V2在升级</w:t>
      </w:r>
      <w:r>
        <w:rPr>
          <w:rFonts w:hint="eastAsia"/>
          <w:sz w:val="24"/>
          <w:szCs w:val="24"/>
          <w:lang w:val="en-US" w:eastAsia="zh-CN"/>
        </w:rPr>
        <w:t>多板卡时，由于嵌套过多的地址和功能码，使得升级次设备时非常繁琐，为了优化这些问题，MCU BootLoader V3结合报文中的地址字段和转发机制，简化了多板卡升级。</w:t>
      </w:r>
    </w:p>
    <w:p>
      <w:pPr>
        <w:spacing w:lineRule="auto" w:line="360" w:beforeAutospacing="0" w:afterAutospacing="0"/>
        <w:ind w:firstLine="480" w:firstLineChars="200"/>
        <w:rPr>
          <w:rFonts w:hint="default"/>
          <w:i/>
          <w:sz w:val="24"/>
          <w:szCs w:val="24"/>
        </w:rPr>
      </w:pPr>
      <w:r>
        <w:rPr>
          <w:i/>
        </w:rPr>
        <w:t>参考文件：</w:t>
      </w:r>
    </w:p>
    <w:p>
      <w:pPr>
        <w:spacing w:lineRule="auto" w:line="360" w:beforeAutospacing="0" w:afterAutospacing="0"/>
        <w:ind w:firstLine="480" w:firstLineChars="200"/>
        <w:rPr>
          <w:rFonts w:hint="default"/>
          <w:i/>
          <w:sz w:val="24"/>
          <w:szCs w:val="24"/>
        </w:rPr>
      </w:pPr>
      <w:r>
        <w:rPr>
          <w:i/>
        </w:rPr>
        <w:t>《</w:t>
      </w:r>
      <w:hyperlink w:history="1" r:id="rId2">
        <w:r>
          <w:rPr>
            <w:rFonts w:ascii="Arial" w:eastAsia="宋体" w:hAnsi="Arial" w:cs="Arial"/>
            <w:b w:val="0"/>
            <w:i/>
            <w:strike w:val="0"/>
            <w:dstrike w:val="0"/>
            <w:noProof/>
            <w:snapToGrid/>
            <w:color w:val="6DA0E3"/>
            <w:w w:val="100"/>
            <w:kern w:val="2"/>
            <w:sz w:val="21"/>
            <w:szCs w:val="21"/>
            <w:u w:val="single"/>
            <w:vertAlign w:val="baseline"/>
          </w:rPr>
          <w:t>多板卡通信协议CPPI V3</w:t>
        </w:r>
      </w:hyperlink>
      <w:r>
        <w:rPr>
          <w:i/>
        </w:rPr>
        <w:t>》</w:t>
      </w:r>
    </w:p>
    <w:p>
      <w:pPr>
        <w:spacing w:lineRule="auto" w:line="360" w:beforeAutospacing="0" w:afterAutospacing="0"/>
        <w:ind w:firstLine="480" w:firstLineChars="200"/>
        <w:rPr>
          <w:i/>
        </w:rPr>
      </w:pPr>
      <w:r>
        <w:rPr>
          <w:i/>
        </w:rPr>
        <w:t>《</w:t>
      </w:r>
      <w:hyperlink w:history="1" r:id="rId3">
        <w:r>
          <w:rPr>
            <w:rFonts w:ascii="Arial" w:eastAsia="宋体" w:hAnsi="Arial" w:cs="Arial"/>
            <w:b w:val="0"/>
            <w:i/>
            <w:strike w:val="0"/>
            <w:dstrike w:val="0"/>
            <w:noProof/>
            <w:snapToGrid/>
            <w:color w:val="6DA0E3"/>
            <w:w w:val="100"/>
            <w:kern w:val="2"/>
            <w:sz w:val="21"/>
            <w:szCs w:val="21"/>
            <w:u w:val="single"/>
            <w:vertAlign w:val="baseline"/>
          </w:rPr>
          <w:t>设备板卡唯一地址分配表</w:t>
        </w:r>
      </w:hyperlink>
      <w:r>
        <w:rPr>
          <w:i/>
        </w:rPr>
        <w:t>》</w:t>
      </w:r>
    </w:p>
    <w:p>
      <w:pPr>
        <w:spacing w:lineRule="auto" w:line="360" w:beforeAutospacing="0" w:afterAutospacing="0"/>
        <w:ind w:firstLine="480" w:firstLineChars="200"/>
        <w:rPr>
          <w:i/>
        </w:rPr>
      </w:pPr>
      <w:r>
        <w:rPr>
          <w:i/>
        </w:rPr>
        <w:t>《</w:t>
      </w:r>
      <w:hyperlink w:history="1" r:id="rId4">
        <w:r>
          <w:rPr>
            <w:rFonts w:hAnsi="Arial" w:cs="Arial" w:ascii="Arial" w:eastAsia="宋体"/>
            <w:b w:val="0"/>
            <w:i/>
            <w:strike w:val="0"/>
            <w:dstrike w:val="0"/>
            <w:noProof/>
            <w:snapToGrid/>
            <w:color w:val="6DA0E3"/>
            <w:w w:val="100"/>
            <w:kern w:val="2"/>
            <w:sz w:val="21"/>
            <w:szCs w:val="21"/>
            <w:u w:val="single"/>
            <w:vertAlign w:val="baseline"/>
            <w:lang w:val="en-US" w:bidi="en-US"/>
          </w:rPr>
          <w:t>CPPI V3功能码定义规范</w:t>
        </w:r>
      </w:hyperlink>
      <w:r>
        <w:rPr>
          <w:i/>
        </w:rPr>
        <w:t>》</w:t>
      </w:r>
    </w:p>
    <w:p>
      <w:pPr>
        <w:spacing w:lineRule="auto" w:line="360" w:beforeAutospacing="0" w:afterAutospacing="0"/>
        <w:ind w:firstLine="480" w:firstLineChars="200"/>
        <w:rPr>
          <w:i/>
        </w:rPr>
      </w:pPr>
      <w:r>
        <w:rPr>
          <w:i/>
        </w:rPr>
        <w:t>《</w:t>
      </w:r>
      <w:hyperlink w:history="1" r:id="rId5">
        <w:r>
          <w:rPr>
            <w:i/>
            <w:noProof/>
            <w:color w:val="6DA0E3"/>
            <w:u w:val="single"/>
          </w:rPr>
          <w:t>基于《ConST Bootloader V3升级流程规范》的上位机升级软件规范</w:t>
        </w:r>
      </w:hyperlink>
      <w:r>
        <w:rPr>
          <w:i/>
        </w:rPr>
        <w:t>》</w:t>
      </w: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固件升级</w:t>
      </w:r>
      <w:r>
        <w:rPr>
          <w:rFonts w:hint="eastAsia"/>
          <w:lang w:val="en-US" w:eastAsia="zh-CN"/>
        </w:rPr>
        <w:t>方式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在线交互式升级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jc w:val="center"/>
        <w:rPr>
          <w:rFonts w:hint="eastAsia"/>
          <w:lang w:val="en-US" w:eastAsia="zh-CN"/>
        </w:rPr>
      </w:pPr>
      <w:r>
        <w:drawing>
          <wp:inline distT="0" distB="0" distL="11520" distR="11520">
            <wp:extent cx="5267960" cy="4623435"/>
            <wp:docPr id="1" name="Drawing 0" descr="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V="false" flipH="false">
                      <a:off x="0" y="0"/>
                      <a:ext cx="5267960" cy="4623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图1 升级交互流程图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此种升级方式需要升级工具配合交互，板卡接收交互指令后，同时解析CPPI V3数据包，分包将固件直接烧录在指定位置的片上flash，待烧录完整之后校验无误后重启运行程序。BootLoader V3版本的操作流程分为主机操作流程和从机操作流程，两者互相配合进行从机的固件升级，如上图所示。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（交互式升级方式，板卡的地址信息如何存储？存储在硬件设备，而不是写在APP固件里）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离线自主式升级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jc w:val="center"/>
        <w:rPr>
          <w:rFonts w:hint="default"/>
          <w:b/>
          <w:sz w:val="21"/>
          <w:szCs w:val="21"/>
          <w:lang w:val="en-US" w:eastAsia="zh-CN"/>
        </w:rPr>
      </w:pPr>
      <w:r>
        <w:drawing>
          <wp:inline distT="0" distB="0" distL="11520" distR="11520">
            <wp:extent cx="5270500" cy="3997960"/>
            <wp:docPr id="2" name="Drawing 1" descr="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true"/>
                    </pic:cNvPicPr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 flipV="false" flipH="false">
                      <a:off x="0" y="0"/>
                      <a:ext cx="5270500" cy="3997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1"/>
          <w:szCs w:val="21"/>
        </w:rPr>
        <w:t>图 2 离线自主式升级流程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此种升级方式是，在进入bootloader之前，设备需要获取到升级包离线升级，此种方式灵活性高，可以采取多种通信方式，如有线或OTA。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板卡如果内存够大，直接将数据包一次性缓存在内存，如果内存较小，就分包缓存，之后写入到备份flash区域，不覆盖之前的程序，同时在升级设置区域设置标志。待下次程序启动(主机主动触发更新或板卡重启)之后，bootloader进入自主式升级过程。</w:t>
      </w:r>
    </w:p>
    <w:p>
      <w:pPr>
        <w:pStyle w:val="13"/>
        <w:numPr>
          <w:ilvl w:val="0"/>
          <w:numId w:val="0"/>
        </w:numPr>
        <w:spacing w:lineRule="auto" w:line="360" w:beforeAutospacing="0" w:afterAutospacing="0"/>
        <w:ind w:firstLine="420" w:firstLineChars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该升级方式的前提是芯片flash存储是足够大的。同时指定存储的区域信息，该信息确定App端存储的位置，以及bootloader离线取升级包的位置。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</w:pPr>
      <w:r>
        <w:rPr>
          <w:rFonts w:hint="eastAsia"/>
        </w:rPr>
        <w:t>3. 协议及指令</w:t>
      </w:r>
    </w:p>
    <w:p>
      <w:pPr>
        <w:pStyle w:val="3"/>
      </w:pPr>
      <w:r>
        <w:rPr>
          <w:rFonts w:hint="eastAsia"/>
        </w:rPr>
        <w:t>3.1 协议报文格式</w:t>
      </w:r>
    </w:p>
    <w:p>
      <w:pPr>
        <w:spacing w:lineRule="auto" w:line="360" w:beforeAutospacing="0" w:afterAutospacing="0"/>
        <w:ind w:firstLine="480" w:firstLineChars="200"/>
        <w:rPr>
          <w:rFonts w:hint="eastAsia" w:asciiTheme="minorEastAsia" w:hAnsi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</w:rPr>
        <w:t>在参考XModem、YModem文件传输协议、430升级协议以及Arm Loader升级协议基础上，同时考虑到适应各种各种升级方式：串口、网络、低功耗蓝牙、多层转发等复杂场景，特制定固件升级交互指令协议报文</w:t>
      </w:r>
      <w:r>
        <w:rPr>
          <w:rFonts w:hint="eastAsia" w:asciiTheme="minorEastAsia" w:hAnsiTheme="minorEastAsia"/>
          <w:sz w:val="24"/>
          <w:szCs w:val="24"/>
          <w:lang w:eastAsia="zh-CN"/>
        </w:rPr>
        <w:t>。</w:t>
      </w:r>
    </w:p>
    <w:p>
      <w:pPr>
        <w:spacing w:lineRule="auto" w:line="360" w:beforeAutospacing="0" w:afterAutospacing="0"/>
        <w:ind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在新的交互协议中，不再将请求报文格式和响应报文格式分开，而是统一报文，根据报文中的控制字段来区分请求和响应报文，具体参考CPPI V3多板卡协议报文定义。</w:t>
      </w:r>
    </w:p>
    <w:p>
      <w:pPr>
        <w:pStyle w:val="3"/>
      </w:pPr>
      <w:r>
        <w:rPr>
          <w:rFonts w:hint="eastAsia"/>
        </w:rPr>
        <w:t>3.2 基本功能指令</w:t>
      </w:r>
    </w:p>
    <w:p>
      <w:pPr>
        <w:spacing w:lineRule="auto" w:line="360" w:beforeAutospacing="0" w:afterAutospacing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基本功能指令是指Bootloader必须实现的功能指令。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3.2.1</w:t>
      </w:r>
      <w:r>
        <w:rPr>
          <w:rFonts w:hint="eastAsia"/>
          <w:sz w:val="28"/>
          <w:szCs w:val="28"/>
        </w:rPr>
        <w:t>升级握手</w:t>
      </w:r>
    </w:p>
    <w:p>
      <w:pPr>
        <w:pStyle w:val="13"/>
        <w:numPr>
          <w:ilvl w:val="0"/>
          <w:numId w:val="2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功能代码：0x</w:t>
      </w:r>
      <w:r>
        <w:rPr>
          <w:rFonts w:hint="eastAsia"/>
          <w:sz w:val="24"/>
          <w:szCs w:val="24"/>
          <w:lang w:val="en-US" w:eastAsia="zh-CN"/>
        </w:rPr>
        <w:t>FD00</w:t>
      </w:r>
    </w:p>
    <w:p>
      <w:pPr>
        <w:pStyle w:val="13"/>
        <w:numPr>
          <w:ilvl w:val="0"/>
          <w:numId w:val="2"/>
        </w:numPr>
        <w:spacing w:lineRule="auto" w:line="360" w:beforeAutospacing="0" w:afterAutospacing="0"/>
        <w:ind w:firstLineChars="0"/>
        <w:rPr>
          <w:strike w:val="0"/>
          <w:dstrike w:val="0"/>
          <w:sz w:val="24"/>
          <w:szCs w:val="24"/>
        </w:rPr>
      </w:pPr>
      <w:r>
        <w:rPr>
          <w:rFonts w:hint="eastAsia"/>
          <w:sz w:val="24"/>
          <w:szCs w:val="24"/>
        </w:rPr>
        <w:t>请求数据：</w:t>
      </w:r>
      <w:r>
        <w:rPr>
          <w:rFonts w:hint="eastAsia"/>
          <w:strike w:val="0"/>
          <w:dstrike w:val="0"/>
          <w:sz w:val="24"/>
          <w:szCs w:val="24"/>
        </w:rPr>
        <w:t>无</w:t>
      </w:r>
    </w:p>
    <w:p>
      <w:pPr>
        <w:pStyle w:val="13"/>
        <w:numPr>
          <w:ilvl w:val="0"/>
          <w:numId w:val="2"/>
        </w:numPr>
        <w:spacing w:lineRule="auto" w:line="360" w:beforeAutospacing="0" w:afterAutospacing="0"/>
        <w:ind w:firstLineChars="0"/>
        <w:rPr>
          <w:rFonts w:hint="eastAsia" w:cs="Arial" w:ascii="Arial" w:eastAsia="宋体" w:hAnsi="Arial"/>
          <w:b w:val="0"/>
          <w:i w:val="0"/>
          <w:strike w:val="0"/>
          <w:dstrike w:val="0"/>
          <w:color w:val="auto"/>
          <w:w w:val="100"/>
          <w:sz w:val="24"/>
          <w:szCs w:val="24"/>
          <w:u w:val="none"/>
          <w:vertAlign w:val="baseline"/>
          <w:lang w:val="en-US" w:bidi="en-US"/>
        </w:rPr>
      </w:pPr>
      <w:r>
        <w:rPr>
          <w:rFonts w:hint="eastAsia"/>
          <w:color w:val="000000"/>
          <w:sz w:val="24"/>
          <w:szCs w:val="24"/>
        </w:rPr>
        <w:t>响应数据：</w:t>
      </w:r>
      <w:r>
        <w:rPr>
          <w:rFonts w:hint="eastAsia"/>
          <w:color w:val="000000"/>
          <w:sz w:val="24"/>
          <w:szCs w:val="24"/>
        </w:rPr>
        <w:t>设备板卡物理地址。</w:t>
      </w:r>
    </w:p>
    <w:p>
      <w:pPr>
        <w:spacing w:lineRule="auto" w:line="360" w:beforeAutospacing="0" w:afterAutospacing="0"/>
        <w:ind w:left="420"/>
        <w:rPr>
          <w:rFonts w:hint="eastAsia" w:cs="Arial" w:ascii="Arial" w:eastAsia="宋体" w:hAnsi="Arial"/>
          <w:b w:val="0"/>
          <w:i w:val="0"/>
          <w:strike w:val="0"/>
          <w:dstrike w:val="0"/>
          <w:color w:val="auto"/>
          <w:w w:val="100"/>
          <w:sz w:val="24"/>
          <w:szCs w:val="24"/>
          <w:u w:val="none"/>
          <w:vertAlign w:val="baseline"/>
          <w:lang w:val="en-US" w:bidi="en-US"/>
        </w:rPr>
      </w:pPr>
      <w:r>
        <w:rPr>
          <w:rFonts w:hint="eastAsia"/>
          <w:color w:val="000000"/>
          <w:sz w:val="24"/>
          <w:szCs w:val="24"/>
        </w:rPr>
        <w:t>注：</w:t>
      </w:r>
      <w:r>
        <w:rPr>
          <w:rFonts w:hint="eastAsia"/>
          <w:color w:val="000000"/>
          <w:sz w:val="24"/>
          <w:szCs w:val="24"/>
        </w:rPr>
        <w:t>设备板卡物理地址是公司级唯一的ID。</w:t>
      </w:r>
      <w:r>
        <w:rPr>
          <w:rFonts w:eastAsia="宋体" w:hAnsi="Arial" w:ascii="Arial" w:cs="Arial" w:hint="eastAsia"/>
          <w:b w:val="0"/>
          <w:i w:val="0"/>
          <w:strike w:val="0"/>
          <w:dstrike w:val="0"/>
          <w:snapToGrid/>
          <w:w w:val="100"/>
          <w:kern w:val="2"/>
          <w:sz w:val="24"/>
          <w:szCs w:val="24"/>
          <w:u w:val="none"/>
          <w:vertAlign w:val="baseline"/>
          <w:lang w:val="en-US" w:bidi="en-US"/>
        </w:rPr>
        <w:t>loader不保存ID，而是读取应用特定位置保存的ID，返回ID供上位机选取配置文件。</w:t>
      </w:r>
    </w:p>
    <w:p>
      <w:pPr>
        <w:pStyle w:val="13"/>
        <w:numPr>
          <w:ilvl w:val="0"/>
          <w:numId w:val="2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功能简介：从机复位后，在进入应用程序之前，从机会有</w:t>
      </w:r>
      <w:r>
        <w:rPr>
          <w:rFonts w:hint="eastAsia"/>
          <w:sz w:val="24"/>
          <w:szCs w:val="24"/>
          <w:lang w:val="en-US" w:eastAsia="zh-CN"/>
        </w:rPr>
        <w:t>200ms</w:t>
      </w:r>
      <w:r>
        <w:rPr>
          <w:rFonts w:hint="eastAsia"/>
          <w:sz w:val="24"/>
          <w:szCs w:val="24"/>
        </w:rPr>
        <w:t>的等待时间，如果在这段时间内容主机发送了升级握手指令，则从机进入Bootloader运行状态。</w:t>
      </w:r>
    </w:p>
    <w:p>
      <w:pPr>
        <w:pStyle w:val="13"/>
        <w:spacing w:lineRule="auto" w:line="360" w:beforeAutospacing="0" w:afterAutospacing="0"/>
        <w:ind w:firstLine="0" w:firstLineChars="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注：从机进入Bootloader状态有两种方式：一是主机直接在从机用户程序状态时发送复位指令进行软复位，软复位成功后，从机直接进入Bootloader状态；二是从机使用断上电方式进行硬复位后，由主机发送握手指令让从机进入Bootloader状态。</w:t>
      </w:r>
    </w:p>
    <w:p>
      <w:pPr>
        <w:pStyle w:val="4"/>
        <w:spacing w:lineRule="auto" w:line="415" w:after="0" w:beforeAutospacing="0" w:afterAutospacing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3.2.2 获取下载参数</w:t>
      </w:r>
    </w:p>
    <w:p>
      <w:pPr>
        <w:pStyle w:val="13"/>
        <w:numPr>
          <w:ilvl w:val="0"/>
          <w:numId w:val="2"/>
        </w:numPr>
        <w:spacing w:lineRule="auto" w:line="360" w:beforeAutospacing="0" w:afterAutospacing="0"/>
        <w:ind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</w:rPr>
        <w:t>功能代码：</w:t>
      </w:r>
      <w:r>
        <w:rPr>
          <w:rFonts w:hint="eastAsia"/>
          <w:sz w:val="24"/>
          <w:szCs w:val="24"/>
          <w:lang w:val="en-US" w:eastAsia="zh-CN"/>
        </w:rPr>
        <w:t>无</w:t>
      </w:r>
    </w:p>
    <w:p>
      <w:pPr>
        <w:pStyle w:val="13"/>
        <w:numPr>
          <w:numId w:val="0"/>
        </w:numPr>
        <w:spacing w:lineRule="auto" w:line="360" w:beforeAutospacing="0" w:afterAutospacing="0"/>
        <w:ind w:leftChars="0"/>
        <w:rPr>
          <w:rFonts w:hint="eastAsia"/>
          <w:b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color w:val="0000FF"/>
          <w:sz w:val="28"/>
          <w:szCs w:val="28"/>
          <w:lang w:val="en-US" w:eastAsia="zh-CN"/>
        </w:rPr>
        <w:t>此项不通过交互的方式获取，下载信息均采用配置文件形式</w:t>
      </w:r>
    </w:p>
    <w:p>
      <w:pPr>
        <w:pStyle w:val="13"/>
        <w:spacing w:lineRule="auto" w:line="360" w:beforeAutospacing="0" w:afterAutospacing="0"/>
        <w:ind w:firstLineChars="175"/>
      </w:pPr>
      <w:r>
        <w:rPr>
          <w:rFonts w:hint="eastAsia"/>
          <w:sz w:val="24"/>
          <w:szCs w:val="24"/>
          <w:lang w:val="en-US" w:eastAsia="zh-CN"/>
        </w:rPr>
        <w:t>上位机在握手成功之后，</w:t>
      </w:r>
      <w:r>
        <w:rPr>
          <w:rFonts w:hint="eastAsia"/>
          <w:sz w:val="24"/>
          <w:szCs w:val="24"/>
        </w:rPr>
        <w:t>按照自己的逻辑读取到配置文件的相关信息，在分包下载固件的过程中，根据配置文件的信息组包发送板卡即可。这种形式BootLoader的流程更简洁，定制化更方便，修改参数时直接改配置文件，无须修改固件代码。</w:t>
      </w:r>
    </w:p>
    <w:p>
      <w:pPr>
        <w:pStyle w:val="13"/>
        <w:spacing w:lineRule="auto" w:line="360" w:beforeAutospacing="0" w:afterAutospacing="0"/>
        <w:ind w:firstLineChars="175"/>
        <w:rPr>
          <w:w w:val="100"/>
          <w:kern w:val="2"/>
        </w:rPr>
      </w:pPr>
      <w:r>
        <w:rPr>
          <w:rFonts w:asciiTheme="minorHAnsi" w:cstheme="minorBidi" w:eastAsiaTheme="minorEastAsia" w:hAnsiTheme="minorHAnsi" w:eastAsia="宋体" w:hAnsi="Arial" w:ascii="Arial" w:cs="Arial" w:hint="eastAsia"/>
          <w:b w:val="0"/>
          <w:i w:val="0"/>
          <w:strike w:val="0"/>
          <w:dstrike w:val="0"/>
          <w:snapToGrid/>
          <w:w w:val="100"/>
          <w:kern w:val="2"/>
          <w:sz w:val="24"/>
          <w:szCs w:val="24"/>
          <w:u w:val="none"/>
          <w:vertAlign w:val="baseline"/>
          <w:lang w:val="en-US" w:bidi="en-US"/>
        </w:rPr>
        <w:t>升级流程如图1 升级交互流程图所示，会省去初始化升级信息步骤，直接由上位机读取配置信息，查询loader版本之后直接进入固件烧录过程。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3.2.3 查询Loader版本</w:t>
      </w:r>
    </w:p>
    <w:p>
      <w:pPr>
        <w:pStyle w:val="13"/>
        <w:numPr>
          <w:ilvl w:val="0"/>
          <w:numId w:val="3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功能代码：0x</w:t>
      </w:r>
      <w:r>
        <w:rPr>
          <w:rFonts w:hint="eastAsia"/>
          <w:sz w:val="24"/>
          <w:szCs w:val="24"/>
          <w:lang w:val="en-US" w:eastAsia="zh-CN"/>
        </w:rPr>
        <w:t>FD</w:t>
      </w:r>
      <w:r>
        <w:rPr>
          <w:rFonts w:hint="eastAsia"/>
          <w:sz w:val="24"/>
          <w:szCs w:val="24"/>
        </w:rPr>
        <w:t>02</w:t>
      </w:r>
    </w:p>
    <w:p>
      <w:pPr>
        <w:pStyle w:val="13"/>
        <w:numPr>
          <w:ilvl w:val="0"/>
          <w:numId w:val="3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sz w:val="24"/>
          <w:szCs w:val="24"/>
        </w:rPr>
        <w:t>请求数据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无</w:t>
      </w:r>
    </w:p>
    <w:p>
      <w:pPr>
        <w:pStyle w:val="13"/>
        <w:numPr>
          <w:ilvl w:val="0"/>
          <w:numId w:val="3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响应数据：loader版本（ASCII字符）</w:t>
      </w:r>
    </w:p>
    <w:p>
      <w:pPr>
        <w:pStyle w:val="13"/>
        <w:numPr>
          <w:ilvl w:val="0"/>
          <w:numId w:val="3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功能简介：从机进入到Bootloader状态后，主机发送该指令查询从机loader的版本信息。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 获取固件最终校验码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 0x</w:t>
      </w:r>
      <w:r>
        <w:rPr>
          <w:rFonts w:hint="eastAsia"/>
          <w:sz w:val="24"/>
          <w:szCs w:val="24"/>
          <w:lang w:val="en-US" w:eastAsia="zh-CN"/>
        </w:rPr>
        <w:t>FD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>3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请求数据：起始地址（4字节）+ 长度（4字节）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响应数据：crc16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功能简介：在固件下载完成后，可以执行固件最终校验。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 修改串口波特率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 0x</w:t>
      </w:r>
      <w:r>
        <w:rPr>
          <w:rFonts w:hint="eastAsia"/>
          <w:sz w:val="24"/>
          <w:szCs w:val="24"/>
          <w:lang w:val="en-US" w:eastAsia="zh-CN"/>
        </w:rPr>
        <w:t>FD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  <w:lang w:val="en-US" w:eastAsia="zh-CN"/>
        </w:rPr>
        <w:t>4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请求数据：波特率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响应数据：无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功能简介：在需要提升串口通信速率时，发送此指令。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b/>
          <w:color w:val="FF0000"/>
          <w:sz w:val="24"/>
          <w:szCs w:val="24"/>
          <w:highlight w:val="yellow"/>
        </w:rPr>
      </w:pPr>
      <w:r>
        <w:rPr>
          <w:b/>
          <w:color w:val="FF0000"/>
          <w:sz w:val="24"/>
          <w:szCs w:val="24"/>
          <w:highlight w:val="yellow"/>
        </w:rPr>
        <w:t>注</w:t>
      </w:r>
      <w:r>
        <w:rPr>
          <w:rFonts w:hint="eastAsia"/>
          <w:b/>
          <w:color w:val="FF0000"/>
          <w:sz w:val="24"/>
          <w:szCs w:val="24"/>
          <w:highlight w:val="yellow"/>
        </w:rPr>
        <w:t>：1：模块默认串口参数9600,8N2</w:t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b/>
          <w:color w:val="ff0000"/>
          <w:sz w:val="24"/>
          <w:szCs w:val="24"/>
          <w:highlight w:val="yellow"/>
        </w:rPr>
      </w:pPr>
      <w:commentRangeStart w:id="1"/>
      <w:r>
        <w:rPr>
          <w:rFonts w:hint="eastAsia"/>
          <w:b/>
          <w:color w:val="ff0000"/>
          <w:sz w:val="24"/>
          <w:szCs w:val="24"/>
          <w:highlight w:val="yellow"/>
        </w:rPr>
        <w:t xml:space="preserve">    2：修改波特率后，需要重新发送0x01指令，读取新的超时参数。</w:t>
      </w:r>
      <w:commentRangeEnd w:id="1"/>
      <w:r>
        <w:commentReference w:id="1"/>
      </w:r>
    </w:p>
    <w:p>
      <w:pPr>
        <w:pStyle w:val="13"/>
        <w:numPr>
          <w:ilvl w:val="0"/>
          <w:numId w:val="4"/>
        </w:numPr>
        <w:spacing w:lineRule="auto" w:line="360" w:beforeAutospacing="0" w:afterAutospacing="0"/>
        <w:ind w:firstLineChars="0"/>
        <w:rPr>
          <w:b/>
          <w:color w:val="ff0000"/>
          <w:sz w:val="24"/>
          <w:szCs w:val="24"/>
          <w:highlight w:val="yellow"/>
        </w:rPr>
      </w:pPr>
      <w:r>
        <w:rPr>
          <w:rFonts w:hint="eastAsia"/>
          <w:b/>
          <w:color w:val="FF0000"/>
          <w:sz w:val="24"/>
          <w:szCs w:val="24"/>
          <w:highlight w:val="yellow"/>
        </w:rPr>
        <w:t xml:space="preserve">    3：若模块仅对该指令无</w:t>
      </w:r>
      <w:r>
        <w:rPr>
          <w:rFonts w:hint="eastAsia"/>
          <w:b/>
          <w:color w:val="ff0000"/>
          <w:sz w:val="24"/>
          <w:szCs w:val="24"/>
          <w:highlight w:val="yellow"/>
        </w:rPr>
        <w:t>响应，代表模块不支持波特率设置。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 xml:space="preserve"> 擦除Flash</w:t>
      </w:r>
    </w:p>
    <w:p>
      <w:pPr>
        <w:pStyle w:val="13"/>
        <w:numPr>
          <w:ilvl w:val="0"/>
          <w:numId w:val="5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功能代码：0x</w:t>
      </w:r>
      <w:r>
        <w:rPr>
          <w:rFonts w:hint="eastAsia"/>
          <w:sz w:val="24"/>
          <w:szCs w:val="24"/>
          <w:lang w:val="en-US" w:eastAsia="zh-CN"/>
        </w:rPr>
        <w:t>FD05</w:t>
      </w:r>
    </w:p>
    <w:p>
      <w:pPr>
        <w:pStyle w:val="13"/>
        <w:numPr>
          <w:ilvl w:val="0"/>
          <w:numId w:val="5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</w:t>
      </w:r>
    </w:p>
    <w:tbl>
      <w:tblPr>
        <w:tblStyle w:val="9"/>
        <w:tblW w:w="0" w:type="auto"/>
        <w:tblInd w:w="287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0" w:space="0" w:color="auto"/>
          <w:insideV w:val="nil" w:sz="0" w:space="0" w:color="auto"/>
        </w:tblBorders>
        <w:tblLayout w:type="autofit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932"/>
        <w:gridCol w:w="236"/>
        <w:gridCol w:w="3567"/>
      </w:tblGrid>
      <w:tr>
        <w:tblPrEx>
          <w:tblBorders>
            <w:top w:val="single" w:sz="8" w:space="0" w:color="4BACC6"/>
            <w:left w:val="single" w:sz="8" w:space="0" w:color="4BACC6"/>
            <w:bottom w:val="single" w:sz="8" w:space="0" w:color="4BACC6"/>
            <w:right w:val="single" w:sz="8" w:space="0" w:color="4BACC6"/>
            <w:insideH w:val="nil" w:sz="0" w:space="0" w:color="auto"/>
            <w:insideV w:val="nil" w:sz="0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/>
        <w:tc>
          <w:tcPr>
            <w:tcW w:w="3932" w:type="dxa"/>
            <w:tcBorders>
              <w:right w:val="single" w:sz="4" w:space="0" w:color="92CDDC"/>
            </w:tcBorders>
            <w:shd w:fill="4BACC6" w:color="auto" w:val="clear" w:themeFill="accent5"/>
            <w:vAlign w:val="center"/>
          </w:tcPr>
          <w:p>
            <w:pPr>
              <w:pStyle w:val="13"/>
              <w:spacing w:lineRule="auto" w:line="360" w:before="0" w:after="0" w:beforeAutospacing="0" w:afterAutospacing="0"/>
              <w:ind w:firstLine="0" w:firstLineChars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请求数据</w:t>
            </w:r>
          </w:p>
        </w:tc>
        <w:tc>
          <w:tcPr>
            <w:tcW w:w="236" w:type="dxa"/>
            <w:tcBorders>
              <w:left w:val="single" w:sz="4" w:space="0" w:color="92CDDC"/>
            </w:tcBorders>
            <w:shd w:fill="4BACC6" w:color="auto" w:val="clear" w:themeFill="accent5"/>
            <w:vAlign w:val="center"/>
          </w:tcPr>
          <w:p>
            <w:pPr>
              <w:pStyle w:val="13"/>
              <w:spacing w:lineRule="auto" w:line="360" w:before="0" w:after="0" w:beforeAutospacing="0" w:afterAutospacing="0"/>
              <w:ind w:firstLine="0" w:firstLineChars="0"/>
              <w:jc w:val="center"/>
              <w:rPr>
                <w:b w:val="0"/>
                <w:color w:val="FFFFFF"/>
                <w:sz w:val="24"/>
                <w:szCs w:val="24"/>
              </w:rPr>
            </w:pPr>
          </w:p>
        </w:tc>
        <w:tc>
          <w:tcPr>
            <w:tcW w:w="3567" w:type="dxa"/>
            <w:shd w:fill="4BACC6" w:color="auto" w:val="clear" w:themeFill="accent5"/>
            <w:vAlign w:val="center"/>
          </w:tcPr>
          <w:p>
            <w:pPr>
              <w:pStyle w:val="13"/>
              <w:spacing w:lineRule="auto" w:line="360" w:before="0" w:after="0" w:beforeAutospacing="0" w:afterAutospacing="0"/>
              <w:ind w:firstLine="0" w:firstLineChars="0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sz="8" w:space="0" w:color="4BACC6"/>
            <w:left w:val="single" w:sz="8" w:space="0" w:color="4BACC6"/>
            <w:bottom w:val="single" w:sz="8" w:space="0" w:color="4BACC6"/>
            <w:right w:val="single" w:sz="8" w:space="0" w:color="4BACC6"/>
            <w:insideH w:val="nil" w:sz="0" w:space="0" w:color="auto"/>
            <w:insideV w:val="nil" w:sz="0" w:space="0" w:color="auto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/>
        <w:tc>
          <w:tcPr>
            <w:tcW w:w="3932" w:type="dxa"/>
            <w:tcBorders>
              <w:right w:val="single" w:sz="4" w:space="0" w:color="92CDDC"/>
            </w:tcBorders>
            <w:vAlign w:val="center"/>
          </w:tcPr>
          <w:p>
            <w:pPr>
              <w:pStyle w:val="13"/>
              <w:spacing w:lineRule="auto" w:line="360" w:beforeAutospacing="0" w:afterAutospacing="0"/>
              <w:ind w:firstLine="0" w:firstLineChars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起始地址（4字节）+ 长度（4字节）</w:t>
            </w:r>
          </w:p>
        </w:tc>
        <w:tc>
          <w:tcPr>
            <w:tcW w:w="3803" w:type="dxa"/>
            <w:gridSpan w:val="2"/>
          </w:tcPr>
          <w:p>
            <w:pPr>
              <w:pStyle w:val="13"/>
              <w:spacing w:lineRule="auto" w:line="360" w:beforeAutospacing="0" w:afterAutospacing="0"/>
              <w:ind w:firstLine="0"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擦除</w:t>
            </w:r>
            <w:r>
              <w:rPr>
                <w:sz w:val="24"/>
                <w:szCs w:val="24"/>
              </w:rPr>
              <w:t>指定位置指定长度Flash</w:t>
            </w:r>
          </w:p>
        </w:tc>
      </w:tr>
    </w:tbl>
    <w:p>
      <w:pPr>
        <w:pStyle w:val="13"/>
        <w:numPr>
          <w:ilvl w:val="0"/>
          <w:numId w:val="5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响应数据：无</w:t>
      </w:r>
    </w:p>
    <w:p>
      <w:pPr>
        <w:pStyle w:val="13"/>
        <w:numPr>
          <w:ilvl w:val="0"/>
          <w:numId w:val="5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</w:t>
      </w:r>
    </w:p>
    <w:p>
      <w:pPr>
        <w:pStyle w:val="13"/>
        <w:spacing w:lineRule="auto" w:line="360" w:beforeAutospacing="0" w:afterAutospacing="0"/>
        <w:ind w:firstLine="0" w:firstLineChars="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（1）在开始下载固件之前，主机发送该指令让从机执行固件相关Flash的擦除操作，因为Flash擦除操作可能需要耗费比较长的时间，因此主机需要预先根据“3.2.2获取下载参数”功能指令来读取“Flash擦除最大响应时间（ms）”；</w:t>
      </w:r>
    </w:p>
    <w:p>
      <w:pPr>
        <w:pStyle w:val="13"/>
        <w:spacing w:lineRule="auto" w:line="360" w:beforeAutospacing="0" w:afterAutospacing="0"/>
        <w:ind w:firstLine="0" w:firstLineChars="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（2）从机执行此操作的同时需要清除固件下载完成标识；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 xml:space="preserve"> 分包</w:t>
      </w:r>
      <w:r>
        <w:rPr>
          <w:sz w:val="28"/>
          <w:szCs w:val="28"/>
        </w:rPr>
        <w:t>下载固件文件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 0x</w:t>
      </w:r>
      <w:r>
        <w:rPr>
          <w:rFonts w:hint="eastAsia"/>
          <w:sz w:val="24"/>
          <w:szCs w:val="24"/>
          <w:lang w:val="en-US" w:eastAsia="zh-CN"/>
        </w:rPr>
        <w:t>FD06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请求数据：Flash绝对地址（4字节）+ 二进制数据（n字节）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响应数据：无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功能简介：受限于硬件限制及传输速度等影响，固件文件一般需要分包下载，每包大小及最大响应时间需要通过“3.2.2获取下载参数”功能指令来获取；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下载完成确认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功能代码：0x</w:t>
      </w:r>
      <w:r>
        <w:rPr>
          <w:rFonts w:hint="eastAsia"/>
          <w:sz w:val="24"/>
          <w:szCs w:val="24"/>
          <w:lang w:val="en-US" w:eastAsia="zh-CN"/>
        </w:rPr>
        <w:t>FD07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请求数据：无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响应数据：无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功能简介：让从机执行固件下载完成标识的写入操作。</w:t>
      </w:r>
    </w:p>
    <w:p>
      <w:pPr>
        <w:pStyle w:val="4"/>
        <w:spacing w:lineRule="auto" w:line="415" w:after="0" w:beforeAutospacing="0" w:afterAutospacing="0"/>
        <w:rPr>
          <w:sz w:val="28"/>
          <w:szCs w:val="28"/>
        </w:rPr>
      </w:pPr>
      <w:r>
        <w:rPr>
          <w:rFonts w:hint="eastAsia"/>
          <w:sz w:val="28"/>
          <w:szCs w:val="28"/>
        </w:rPr>
        <w:t>3.2.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 xml:space="preserve"> 运行用户程序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功能代码：0x</w:t>
      </w:r>
      <w:r>
        <w:rPr>
          <w:rFonts w:hint="eastAsia"/>
          <w:sz w:val="24"/>
          <w:szCs w:val="24"/>
          <w:lang w:val="en-US" w:eastAsia="zh-CN"/>
        </w:rPr>
        <w:t>FD08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请求数据：无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响应数据：无</w:t>
      </w:r>
    </w:p>
    <w:p>
      <w:pPr>
        <w:pStyle w:val="13"/>
        <w:numPr>
          <w:ilvl w:val="0"/>
          <w:numId w:val="6"/>
        </w:numPr>
        <w:spacing w:lineRule="auto" w:line="360" w:beforeAutospacing="0" w:afterAutospacing="0"/>
        <w:ind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功能简介：</w:t>
      </w:r>
      <w:r>
        <w:rPr>
          <w:sz w:val="24"/>
          <w:szCs w:val="24"/>
        </w:rPr>
        <w:t>主机发送此指令让从机运行用户程序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同时从机退出</w:t>
      </w:r>
      <w:r>
        <w:rPr>
          <w:rFonts w:hint="eastAsia"/>
          <w:sz w:val="24"/>
          <w:szCs w:val="24"/>
        </w:rPr>
        <w:t>Bootloader状态。</w:t>
      </w:r>
    </w:p>
    <w:sectPr>
      <w:pgSz w:w="11906" w:h="16838"/>
      <w:pgMar w:right="1800" w:left="1800" w:top="1440" w:bottom="1440" w:header="851" w:footer="992" w:gutter="0"/>
      <w:cols w:num="1" w:space="425"/>
      <w:docGrid w:type="lines" w:linePitch="312" w:charSpace="0"/>
    </w:sectPr>
  </w:body>
</w:document>
</file>

<file path=word/comments.xml><?xml version="1.0" encoding="utf-8"?>
<w:comments xmlns:w="http://schemas.openxmlformats.org/wordprocessingml/2006/main" xmlns:wor="http://schemas.microsoft.com/office/word/2010/wordml">
  <w:comment w:id="1" w:author="刘慷" w:date="2025-03-20T15:35:56.542Z">
    <w:p wor:paraId="08A97CAB">
      <w:r>
        <w:t>配置文件参数如何处理？1. 不管，只是超时时间长，在正常情况下无影响；异常情况时多等待一段时间影响不大。2. 根据波特率计算。3. 存多套</w:t>
      </w:r>
    </w:p>
  </w:comment>
</w:comments>
</file>

<file path=word/commentsExtended.xml><?xml version="1.0" encoding="utf-8"?>
<w15:commentsEx xmlns:w15="http://schemas.microsoft.com/office/word/2012/wordml">
  <w15:commentEx w15:paraId="08A97CAB" w15:done="0"/>
</w15:commentsEx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6"/>
      <w:jc w:val="left"/>
    </w:pPr>
    <w:r>
      <w:rPr>
        <w:rFonts w:ascii="Lucida Sans Unicode" w:cs="Lucida Sans Unicode" w:eastAsia="微软雅黑" w:hAnsi="Lucida Sans Unicode"/>
        <w:sz w:val="21"/>
        <w:szCs w:val="21"/>
      </w:rPr>
      <w:t>R&amp;D Center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2"/>
      <w:numFmt w:val="decimal"/>
      <w:suff w:val="space"/>
      <w:lvlText w:val="%1."/>
      <w:lvlJc w:val="left"/>
    </w:lvl>
  </w:abstractNum>
  <w:abstractNum w:abstractNumId="1">
    <w:lvl w:ilvl="0">
      <w:start w:val="1"/>
      <w:numFmt w:val="bullet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27">
    <w:lvl w:ilvl="0">
      <w:start w:val="1"/>
      <w:numFmt w:val="bullet"/>
      <w:pStyle w:val="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pStyle w:val="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pStyle w:val="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pStyle w:val="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pStyle w:val="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pStyle w:val="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pStyle w:val="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17">
    <w:lvl w:ilvl="0">
      <w:start w:val="1"/>
      <w:numFmt w:val="bullet"/>
      <w:pStyle w:val="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pStyle w:val="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pStyle w:val="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pStyle w:val="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pStyle w:val="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pStyle w:val="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pStyle w:val="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96">
    <w:lvl w:ilvl="0">
      <w:start w:val="1"/>
      <w:numFmt w:val="bullet"/>
      <w:pStyle w:val=""/>
      <w:suff w:val="tab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"/>
      <w:suff w:val="tab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"/>
      <w:suff w:val="tab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pStyle w:val=""/>
      <w:suff w:val="tab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pStyle w:val=""/>
      <w:suff w:val="tab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pStyle w:val=""/>
      <w:suff w:val="tab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pStyle w:val=""/>
      <w:suff w:val="tab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pStyle w:val=""/>
      <w:suff w:val="tab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pStyle w:val=""/>
      <w:suff w:val="tab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2029">
    <w:abstractNumId w:val="2027"/>
  </w:num>
  <w:num w:numId="2119">
    <w:abstractNumId w:val="2117"/>
  </w:num>
  <w:num w:numId="2298">
    <w:abstractNumId w:val="2296"/>
  </w:num>
</w:numbering>
</file>

<file path=word/settings.xml><?xml version="1.0" encoding="utf-8"?>
<w:settings xmlns:w="http://schemas.openxmlformats.org/wordprocessingml/2006/main" xmlns:m="http://schemas.openxmlformats.org/officeDocument/2006/math">
  <w:documentProtection w:enforcement="false" w:cryptProviderType="rsaAES"/>
  <w:defaultTabStop w:val="420"/>
  <w:drawingGridVerticalSpacing w:val="156"/>
  <w:displayHorizontalDrawingGridEvery w:val="0"/>
  <w:displayVerticalDrawingGridEvery w:val="2"/>
  <w:characterSpacingControl w:val="compressPunctuation"/>
  <w:characterSpacingControl w:val="compressPunctuation"/>
  <w:compat>
    <w:compatSetting w:name="compatibilityMode" w:uri="http://schemas.microsoft.com/office/word" w:val="15"/>
    <w:spaceForUL w:val="true"/>
    <w:balanceSingleByteDoubleByteWidth/>
    <w:doNotLeaveBackslashAlone w:val="true"/>
    <w:ulTrailSpace/>
    <w:ulTrailSpace w:val="true"/>
    <w:doNotExpandShiftReturn/>
    <w:doNotExpandShiftReturn w:val="true"/>
    <w:adjustLineHeightInTable w:val="true"/>
  </w:compat>
  <m:mathPr>
    <m:mathFont m:val="Cambria Math"/>
    <m:brkBin m:val="before"/>
    <m:brkBinSub m:val="--"/>
    <m:smallFrac m:val="off"/>
    <m:dispDef m:val="on"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</w:rPr>
    </w:rPrDefault>
    <w:pPrDefault>
      <w:pPr/>
    </w:pPrDefault>
  </w:docDefaults>
  <w:style w:styleId="1" w:type="paragraph" w:default="1">
    <w:name w:val="Normal"/>
    <w:uiPriority w:val="0"/>
    <w:qFormat/>
    <w:pPr>
      <w:widowControl w:val="0"/>
      <w:jc w:val="both"/>
    </w:pPr>
    <w:rPr>
      <w:rFonts w:asciiTheme="minorHAnsi" w:cstheme="minorBidi" w:eastAsiaTheme="minorEastAsia" w:hAnsiTheme="majorHAns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1"/>
    <w:uiPriority w:val="9"/>
    <w:qFormat/>
    <w:pPr>
      <w:keepNext/>
      <w:keepLines/>
      <w:spacing w:lineRule="auto" w:line="578" w:before="340" w:after="330" w:beforeAutospacing="0" w:afterAutospacing="0"/>
      <w:outlineLvl w:val="0"/>
    </w:pPr>
    <w:rPr>
      <w:b/>
      <w:kern w:val="44"/>
      <w:sz w:val="44"/>
      <w:szCs w:val="44"/>
    </w:rPr>
  </w:style>
  <w:style w:type="paragraph" w:styleId="3">
    <w:name w:val="Heading 2"/>
    <w:basedOn w:val="1"/>
    <w:next w:val="1"/>
    <w:link w:val="12"/>
    <w:uiPriority w:val="9"/>
    <w:qFormat/>
    <w:pPr>
      <w:keepNext/>
      <w:keepLines/>
      <w:spacing w:lineRule="auto" w:line="416" w:before="260" w:after="260" w:beforeAutospacing="0" w:afterAutospacing="0"/>
      <w:outlineLvl w:val="1"/>
    </w:pPr>
    <w:rPr>
      <w:rFonts w:asciiTheme="majorHAnsi" w:cstheme="majorBidi" w:eastAsiaTheme="majorEastAsia" w:hAnsiTheme="majorHAnsi"/>
      <w:b/>
      <w:sz w:val="32"/>
      <w:szCs w:val="32"/>
    </w:rPr>
  </w:style>
  <w:style w:type="paragraph" w:styleId="4">
    <w:name w:val="Heading 3"/>
    <w:basedOn w:val="1"/>
    <w:next w:val="1"/>
    <w:link w:val="14"/>
    <w:uiPriority w:val="9"/>
    <w:qFormat/>
    <w:pPr>
      <w:keepNext/>
      <w:keepLines/>
      <w:spacing w:lineRule="auto" w:line="416" w:before="260" w:after="260" w:beforeAutospacing="0" w:afterAutospacing="0"/>
      <w:outlineLvl w:val="2"/>
    </w:pPr>
    <w:rPr>
      <w:b/>
      <w:sz w:val="32"/>
      <w:szCs w:val="32"/>
    </w:rPr>
  </w:style>
  <w:style w:default="1" w:styleId="10" w:type="character">
    <w:name w:val="Default Paragraph Font"/>
    <w:uiPriority w:val="1"/>
    <w:qFormat/>
    <w:rPr>
      <w:rFonts w:hAnsiTheme="majorHAnsi"/>
    </w:rPr>
  </w:style>
  <w:style w:default="1" w:styleId="7" w:type="table">
    <w:name w:val="Normal Table"/>
    <w:uiPriority w:val="99"/>
    <w:qFormat/>
    <w:rPr>
      <w:rFonts w:hAnsiTheme="majorHAnsi"/>
    </w:rPr>
    <w:tblPr>
      <w:tblCellMar>
        <w:top w:type="dxa" w:w="0"/>
        <w:left w:type="dxa" w:w="108"/>
        <w:bottom w:type="dxa" w:w="0"/>
        <w:right w:type="dxa" w:w="108"/>
      </w:tblCellMar>
    </w:tblPr>
  </w:style>
  <w:style w:type="paragraph" w:styleId="5">
    <w:name w:val="Footer"/>
    <w:basedOn w:val="1"/>
    <w:link w:val="16"/>
    <w:uiPriority w:val="99"/>
    <w:qFormat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99"/>
    <w:qFormat/>
    <w:pPr>
      <w:pBdr>
        <w:bottom w:val="single" w:sz="6" w:space="1" w:color="auto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type="dxa" w:w="0"/>
        <w:left w:type="dxa" w:w="108"/>
        <w:bottom w:type="dxa" w:w="0"/>
        <w:right w:type="dxa" w:w="108"/>
      </w:tblCellMar>
    </w:tblPr>
  </w:style>
  <w:style w:type="table" w:styleId="9">
    <w:name w:val="Light List Accent 5"/>
    <w:basedOn w:val="7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type="dxa" w:w="0"/>
        <w:left w:type="dxa" w:w="108"/>
        <w:bottom w:type="dxa" w:w="0"/>
        <w:right w:type="dxa" w:w="108"/>
      </w:tblCellMar>
    </w:tblPr>
  </w:style>
  <w:style w:type="character" w:styleId="11" w:customStyle="1">
    <w:name w:val="标题 1 Char"/>
    <w:basedOn w:val="10"/>
    <w:link w:val="2"/>
    <w:uiPriority w:val="9"/>
    <w:qFormat/>
    <w:rPr>
      <w:b/>
      <w:kern w:val="44"/>
      <w:sz w:val="44"/>
      <w:szCs w:val="44"/>
    </w:rPr>
  </w:style>
  <w:style w:type="character" w:customStyle="1" w:styleId="12">
    <w:name w:val="标题 2 Char"/>
    <w:basedOn w:val="10"/>
    <w:link w:val="3"/>
    <w:uiPriority w:val="9"/>
    <w:qFormat/>
    <w:rPr>
      <w:rFonts w:asciiTheme="majorHAnsi" w:cstheme="majorBidi" w:eastAsiaTheme="majorEastAsia" w:hAnsiTheme="majorHAnsi"/>
      <w:b/>
      <w:sz w:val="32"/>
      <w:szCs w:val="32"/>
    </w:rPr>
  </w:style>
  <w:style w:type="paragraph" w:styleId="13">
    <w:name w:val="List Paragraph"/>
    <w:basedOn w:val="1"/>
    <w:uiPriority w:val="34"/>
    <w:qFormat/>
    <w:pPr>
      <w:ind w:firstLine="420" w:firstLineChars="200"/>
    </w:pPr>
  </w:style>
  <w:style w:type="character" w:customStyle="1" w:styleId="14">
    <w:name w:val="标题 3 Char"/>
    <w:basedOn w:val="10"/>
    <w:link w:val="4"/>
    <w:uiPriority w:val="9"/>
    <w:qFormat/>
    <w:rPr>
      <w:b/>
      <w:sz w:val="32"/>
      <w:szCs w:val="32"/>
    </w:rPr>
  </w:style>
  <w:style w:type="character" w:customStyle="1" w:styleId="15">
    <w:name w:val="页眉 Char"/>
    <w:basedOn w:val="10"/>
    <w:link w:val="6"/>
    <w:uiPriority w:val="99"/>
    <w:qFormat/>
    <w:rPr>
      <w:sz w:val="18"/>
      <w:szCs w:val="18"/>
    </w:rPr>
  </w:style>
  <w:style w:type="character" w:customStyle="1" w:styleId="16">
    <w:name w:val="页脚 Char"/>
    <w:basedOn w:val="10"/>
    <w:link w:val="5"/>
    <w:uiPriority w:val="99"/>
    <w:qFormat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footnotes.xml" Type="http://schemas.openxmlformats.org/officeDocument/2006/relationships/footnotes"/><Relationship Id="rId11" Target="endnotes.xml" Type="http://schemas.openxmlformats.org/officeDocument/2006/relationships/endnotes"/><Relationship Id="rId12" Target="styles.xml" Type="http://schemas.openxmlformats.org/officeDocument/2006/relationships/styles"/><Relationship Id="rId13" Target="comments.xml" Type="http://schemas.openxmlformats.org/officeDocument/2006/relationships/comments"/><Relationship Id="rId14" Target="commentsExtended.xml" Type="http://schemas.microsoft.com/office/2011/relationships/commentsExtended"/><Relationship Id="rId15" Target="../customXml/item1.xml" Type="http://schemas.openxmlformats.org/officeDocument/2006/customXml"/><Relationship Id="rId2" Target="http://doc.const.cc/docs/gXqmeO0wELsRX8qo" TargetMode="External" Type="http://schemas.openxmlformats.org/officeDocument/2006/relationships/hyperlink"/><Relationship Id="rId3" Target="http://doc.const.cc/docs/1d3aVlKwylTO8qgO" TargetMode="External" Type="http://schemas.openxmlformats.org/officeDocument/2006/relationships/hyperlink"/><Relationship Id="rId4" Target="http://doc.const.cc/docs/zdkyBYl5r2cpBxA6" TargetMode="External" Type="http://schemas.openxmlformats.org/officeDocument/2006/relationships/hyperlink"/><Relationship Id="rId5" Target="http://doc.const.cc/docs/WlArzoQPMVCV0MA2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customXml/item1.xml><?xml version="1.0" encoding="utf-8"?>
<data>sH8DnVkn/uUKZ5p738im60oB/b4z+uj6N2XmDjbZEX5Lb9Jk1Pkh/kg/uILRbhgG/rszaiDO30TY
Cr7G3uGCBu6qDCYs6c0LXEVwAxVtoeLjPvYC2mn1v0vrQajzcPZYPpNAyPDNBY3LISZiXaGdIw5G
vM2jx8BYd2UfdAlFEsi1cGm6Z0jhchuBIe/D9eIxZBsXJmSwCoWoRrebhZMp1MOkQm7gO3PO8RHe
IiAYLudwpv+UtAZiPpjNfkdP4FaLVPXkdTTifjw8x1q2Wry332S/Htb11Xu+2ffiSV1w+Jg=</data>
</file>

<file path=docProps/app.xml><?xml version="1.0" encoding="utf-8"?>
<Properties xmlns="http://schemas.openxmlformats.org/officeDocument/2006/extended-properties">
  <Application>Shimo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2026-03-30T02:57:16Z</dcterms:created>
  <dc:creator>Shimo</dc:creator>
</cp:coreProperties>
</file>