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《AI驱动的数据中台项目实战》课程标准</w:t>
      </w:r>
    </w:p>
    <w:p>
      <w:r>
        <w:rPr>
          <w:b/>
        </w:rPr>
        <w:t>（AI-Driven Data Platform Project Practicum）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课程代码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BDP-4102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课程性质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专业核心课 / 项目实战课（必修）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适用专业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大数据技术、人工智能技术应用（高职高专）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开课学期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5 学期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总学时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96 学时（6 学分）</w:t>
            </w:r>
            <w:r>
              <w:rPr>
                <w:b w:val="0"/>
                <w:sz w:val="19"/>
              </w:rPr>
              <w:t>＝16 周 × 6 学时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学时结构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理论 32 + 实践 64（</w:t>
            </w:r>
            <w:r>
              <w:rPr>
                <w:b/>
                <w:sz w:val="19"/>
              </w:rPr>
              <w:t>1 : 2</w:t>
            </w:r>
            <w:r>
              <w:rPr>
                <w:b w:val="0"/>
                <w:sz w:val="19"/>
              </w:rPr>
              <w:t>，双元制实践导向）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双元安排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每周：校内理实一体 4 学时（校内导师）＋ 企业实训站项目实践 2 学时（企业导师）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先修课程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Python 程序设计、数据库原理、Linux 运维基础、机器学习导论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载体项目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DAP-v2：Data Agent 数据中台平台</w:t>
            </w:r>
            <w:r>
              <w:rPr>
                <w:b w:val="0"/>
                <w:sz w:val="19"/>
              </w:rPr>
              <w:t>（两节点 K8S 生产级实战项目）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合作企业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校企共建实训基地（数据平台方向）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一、课程定位与设计理念</w:t>
      </w:r>
    </w:p>
    <w:p>
      <w:pPr>
        <w:pStyle w:val="Heading3"/>
      </w:pPr>
      <w:r>
        <w:rPr>
          <w:b w:val="0"/>
        </w:rPr>
        <w:t>1.1 课程定位</w:t>
      </w:r>
    </w:p>
    <w:p>
      <w:r>
        <w:rPr>
          <w:b w:val="0"/>
        </w:rPr>
        <w:t>本课程面向</w:t>
      </w:r>
      <w:r>
        <w:rPr>
          <w:b/>
        </w:rPr>
        <w:t>数据平台工程师、数据智能应用开发工程师</w:t>
      </w:r>
      <w:r>
        <w:rPr>
          <w:b w:val="0"/>
        </w:rPr>
        <w:t>岗位群，以一个真实投产的 AI 数据中台项目（DAP-v2）为完整载体，覆盖"架构规划 → 基础设施 → 智能查询 → 质量治理 → ETL 编排 → 测试发布"全生命周期。学生结课时具备：在 Kubernetes 集群上，运用大语言模型与多智能体技术，独立交付一套"自然语言查数 + 数据质量自愈 + ETL 自动生成"的数据中台服务的能力。</w:t>
      </w:r>
    </w:p>
    <w:p>
      <w:pPr>
        <w:pStyle w:val="Heading3"/>
      </w:pPr>
      <w:r>
        <w:rPr>
          <w:b w:val="0"/>
        </w:rPr>
        <w:t>1.2 德国双元制本土化设计（Duale Ausbildung）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双元制要素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本课程落地方式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双学习场所</w:t>
            </w:r>
            <w:r>
              <w:rPr>
                <w:b w:val="0"/>
                <w:sz w:val="19"/>
              </w:rPr>
              <w:t>（Lernort）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校内理实一体教室（理论/演示/仿真）＋ 企业实训站（真实 2 节点 K8S 集群、真实项目仓库 dap-v2）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双导师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校内导师（方法论、原理、复盘）＋ 企业导师（工程标准、代码评审、上线把关）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学习领域</w:t>
            </w:r>
            <w:r>
              <w:rPr>
                <w:b w:val="0"/>
                <w:sz w:val="19"/>
              </w:rPr>
              <w:t>（Lernfeld）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打破学科体系，按</w:t>
            </w:r>
            <w:r>
              <w:rPr>
                <w:b/>
                <w:sz w:val="19"/>
              </w:rPr>
              <w:t>工作过程</w:t>
            </w:r>
            <w:r>
              <w:rPr>
                <w:b w:val="0"/>
                <w:sz w:val="19"/>
              </w:rPr>
              <w:t>重组为 6 个学习领域（见 §三）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学习情境</w:t>
            </w:r>
            <w:r>
              <w:rPr>
                <w:b w:val="0"/>
                <w:sz w:val="19"/>
              </w:rPr>
              <w:t>（Lernsituation）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每讲 = 一个来自 DAP-v2 真实任务的学习情境（含"客户委托单"式任务描述）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行动导向</w:t>
            </w:r>
            <w:r>
              <w:rPr>
                <w:b w:val="0"/>
                <w:sz w:val="19"/>
              </w:rPr>
              <w:t>（Handlungsorientierung）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每情境遵循 </w:t>
            </w:r>
            <w:r>
              <w:rPr>
                <w:b/>
                <w:sz w:val="19"/>
              </w:rPr>
              <w:t>资讯→计划→决策→实施→检查→评价</w:t>
            </w:r>
            <w:r>
              <w:rPr>
                <w:b w:val="0"/>
                <w:sz w:val="19"/>
              </w:rPr>
              <w:t xml:space="preserve"> 六步法（完整工作过程）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IHK 式考核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过程性任务单 + 项目作品 + 专业对话（Fachgespräch）答辩，弱化一次性笔试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1.3 教学方法论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落地环节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/>
                <w:sz w:val="19"/>
              </w:rPr>
              <w:t>费曼学习法</w:t>
            </w:r>
            <w:r>
              <w:rPr>
                <w:b w:val="0"/>
                <w:sz w:val="19"/>
              </w:rPr>
              <w:t>（Feynman Technique）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以教代学：学生必须把学到的东西讲给别人听、讲得明白才算掌握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每讲固定 20 分钟"</w:t>
            </w:r>
            <w:r>
              <w:rPr>
                <w:b/>
                <w:sz w:val="19"/>
              </w:rPr>
              <w:t>学生讲堂</w:t>
            </w:r>
            <w:r>
              <w:rPr>
                <w:b w:val="0"/>
                <w:sz w:val="19"/>
              </w:rPr>
              <w:t>"环节；期末"费曼答辩"：学生用 10 分钟向"非技术评委"（跨专业学生扮演的业务方）讲清一个子系统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布鲁姆认知分类</w:t>
            </w:r>
            <w:r>
              <w:rPr>
                <w:b w:val="0"/>
                <w:sz w:val="19"/>
              </w:rPr>
              <w:t>（Bloom's Taxonomy）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目标分层：记忆→理解→应用→分析→评价→创造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每个学习情境的教学目标按六层标注（见 §三目标矩阵）；考核题与任务按层级命题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/>
                <w:sz w:val="19"/>
              </w:rPr>
              <w:t>项目驱动</w:t>
            </w:r>
            <w:r>
              <w:rPr>
                <w:b w:val="0"/>
                <w:sz w:val="19"/>
              </w:rPr>
              <w:t>（PBL）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全程围绕 dap-v2 真实仓库真实代码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每周企业实践直接向课程仓库提交 PR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结对编程 / 代码评审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企业工程文化内化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企业站实践 2 人结对 + 导体评审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1.4 课程思政</w:t>
      </w:r>
    </w:p>
    <w:p>
      <w:r>
        <w:rPr>
          <w:b w:val="0"/>
        </w:rPr>
        <w:t>以"数据要素安全流通"为主线：数据安全法/个人信息保护视角下的 PII 脱敏实践（LF5）、自主可控技术栈（国产 TiDB）选型讨论、工程师职业操守（审计留痕、诚实报告缺陷——HSA 文化）。</w:t>
      </w:r>
    </w:p>
    <w:p>
      <w:pPr>
        <w:pStyle w:val="Heading2"/>
      </w:pPr>
      <w:r>
        <w:rPr>
          <w:b w:val="0"/>
        </w:rPr>
        <w:t>二、课程目标（按布鲁姆层级）</w:t>
      </w:r>
    </w:p>
    <w:p>
      <w:pPr>
        <w:pStyle w:val="Heading3"/>
      </w:pPr>
      <w:r>
        <w:rPr>
          <w:b w:val="0"/>
        </w:rPr>
        <w:t>2.1 知识目标（记忆/理解）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【记忆】说出数据中台四层/五层架构（接入-编排-知识-工具-数据平台）各层职责与边界。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【记忆】列出 NL2SQL 五步管线（Schema Linking→检索→生成→自校验→沙箱执行）与四层安全护栏（语法/资源/权限/审批）。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【理解】解释读写分离、多级缓存（L1/L2/L3）、事务性 Outbox、DLQ 死信等机制的原理与适用场景。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【理解】说明双元制六步工作法与敏捷迭代在本项目中的对应关系。</w:t>
      </w:r>
    </w:p>
    <w:p>
      <w:pPr>
        <w:pStyle w:val="Heading3"/>
      </w:pPr>
      <w:r>
        <w:rPr>
          <w:b w:val="0"/>
        </w:rPr>
        <w:t>2.2 能力目标（应用/分析）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【应用】在 K8S 集群上部署/扩容 TiDB、CRDB、Milvus、Pulsar、Redis 全套数据基础设施并完成健康验证。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 w:val="0"/>
        </w:rPr>
        <w:t>【应用】使用 sqlglot 实现 SQL 只读白名单与 PII 列脱敏；使用 LiteLLM 网关路由多 LLM。</w:t>
      </w:r>
    </w:p>
    <w:p>
      <w:pPr>
        <w:ind w:left="340"/>
      </w:pPr>
      <w:r>
        <w:rPr>
          <w:b/>
          <w:color w:val="2E86DE"/>
        </w:rPr>
        <w:t xml:space="preserve">7. </w:t>
      </w:r>
      <w:r>
        <w:rPr>
          <w:b w:val="0"/>
        </w:rPr>
        <w:t>【分析】对一次 NL2SQL 失败案例（评测集错题）进行根因定位（知识库/提示词/Schema Linking）并给出改进方案。</w:t>
      </w:r>
    </w:p>
    <w:p>
      <w:pPr>
        <w:ind w:left="340"/>
      </w:pPr>
      <w:r>
        <w:rPr>
          <w:b/>
          <w:color w:val="2E86DE"/>
        </w:rPr>
        <w:t xml:space="preserve">8. </w:t>
      </w:r>
      <w:r>
        <w:rPr>
          <w:b w:val="0"/>
        </w:rPr>
        <w:t>【分析】阅读 dap-v2 生产代码，画出洞察 Agent 的完整执行路径并标注护栏拦截点。</w:t>
      </w:r>
    </w:p>
    <w:p>
      <w:pPr>
        <w:pStyle w:val="Heading3"/>
      </w:pPr>
      <w:r>
        <w:rPr>
          <w:b w:val="0"/>
        </w:rPr>
        <w:t>2.3 素养目标（评价/创造）</w:t>
      </w:r>
    </w:p>
    <w:p>
      <w:pPr>
        <w:ind w:left="340"/>
      </w:pPr>
      <w:r>
        <w:rPr>
          <w:b/>
          <w:color w:val="2E86DE"/>
        </w:rPr>
        <w:t xml:space="preserve">9. </w:t>
      </w:r>
      <w:r>
        <w:rPr>
          <w:b w:val="0"/>
        </w:rPr>
        <w:t>【评价】依据测试报告（k6 压测/覆盖率/评测 CI）评判一次发布的质量门槛是否达标，并撰写发布决策建议。</w:t>
      </w:r>
    </w:p>
    <w:p>
      <w:pPr>
        <w:ind w:left="340"/>
      </w:pPr>
      <w:r>
        <w:rPr>
          <w:b/>
          <w:color w:val="2E86DE"/>
        </w:rPr>
        <w:t xml:space="preserve">10. </w:t>
      </w:r>
      <w:r>
        <w:rPr>
          <w:b w:val="0"/>
        </w:rPr>
        <w:t>【创造】以团队为单位，在 dap-v2 上扩展一个新能力（如新 Agent / 新图表类型 / 新数据域），完成"设计→编码→测试→答辩"全流程。</w:t>
      </w:r>
    </w:p>
    <w:p>
      <w:pPr>
        <w:ind w:left="340"/>
      </w:pPr>
      <w:r>
        <w:rPr>
          <w:b/>
          <w:color w:val="2E86DE"/>
        </w:rPr>
        <w:t xml:space="preserve">11. </w:t>
      </w:r>
      <w:r>
        <w:rPr>
          <w:b w:val="0"/>
        </w:rPr>
        <w:t>【评价/素养】践行"诚实自评"工程文化：如实标注 DEFERRED 与已知缺陷，不虚报完成度。</w:t>
      </w:r>
    </w:p>
    <w:p>
      <w:pPr>
        <w:pStyle w:val="Heading2"/>
      </w:pPr>
      <w:r>
        <w:rPr>
          <w:b w:val="0"/>
        </w:rPr>
        <w:t>三、学习领域与内容标准</w:t>
      </w:r>
    </w:p>
    <w:p>
      <w:pPr>
        <w:shd w:val="clear" w:fill="EEF3FB"/>
      </w:pPr>
      <w:r>
        <w:rPr>
          <w:b w:val="0"/>
          <w:i/>
          <w:color w:val="6B7A90"/>
        </w:rPr>
        <w:t>每个学习领域（LF）对应 DAP-v2 项目的真实模块；括号内为布鲁姆主层级与学时。</w:t>
      </w:r>
    </w:p>
    <w:p>
      <w:pPr>
        <w:pStyle w:val="Heading3"/>
      </w:pPr>
      <w:r>
        <w:rPr>
          <w:b w:val="0"/>
        </w:rPr>
        <w:t>LF1 数据中台认知与数仓架构规划（理解 | 12 学时）</w:t>
      </w:r>
    </w:p>
    <w:p>
      <w:pPr>
        <w:pStyle w:val="ListBullet"/>
      </w:pPr>
      <w:r>
        <w:rPr>
          <w:b w:val="0"/>
        </w:rPr>
        <w:t>业务痛点：临时取数需求排队 2 天（资料[1]§1.1）</w:t>
      </w:r>
    </w:p>
    <w:p>
      <w:pPr>
        <w:pStyle w:val="ListBullet"/>
      </w:pPr>
      <w:r>
        <w:rPr>
          <w:b w:val="0"/>
        </w:rPr>
        <w:t>数仓分层 ODS→DWD/DIM→DWS→ADS；Data Agent 四层模型</w:t>
      </w:r>
    </w:p>
    <w:p>
      <w:pPr>
        <w:pStyle w:val="ListBullet"/>
      </w:pPr>
      <w:r>
        <w:rPr>
          <w:b w:val="0"/>
        </w:rPr>
        <w:t>DAP-v2 六层架构总览与 ADR 架构决策记录阅读</w:t>
      </w:r>
    </w:p>
    <w:p>
      <w:pPr>
        <w:pStyle w:val="ListBullet"/>
      </w:pPr>
      <w:r>
        <w:rPr>
          <w:b w:val="0"/>
        </w:rPr>
        <w:t>零售数仓数据集（105 万订单）结构解读</w:t>
      </w:r>
    </w:p>
    <w:p>
      <w:pPr>
        <w:pStyle w:val="ListBullet"/>
      </w:pPr>
      <w:r>
        <w:rPr>
          <w:b/>
        </w:rPr>
        <w:t>企业任务</w:t>
      </w:r>
      <w:r>
        <w:rPr>
          <w:b w:val="0"/>
        </w:rPr>
        <w:t>：为新业务域（如"售后域"）规划分层表结构</w:t>
      </w:r>
    </w:p>
    <w:p>
      <w:pPr>
        <w:pStyle w:val="Heading3"/>
      </w:pPr>
      <w:r>
        <w:rPr>
          <w:b w:val="0"/>
        </w:rPr>
        <w:t>LF2 平台基础设施搭建与运维（应用 | 18 学时）</w:t>
      </w:r>
    </w:p>
    <w:p>
      <w:pPr>
        <w:pStyle w:val="ListBullet"/>
      </w:pPr>
      <w:r>
        <w:rPr>
          <w:b w:val="0"/>
        </w:rPr>
        <w:t>K8S 核心对象回顾：Deployment/HPA/ConfigMap/Secret/Ingress/PDB/NetworkPolicy</w:t>
      </w:r>
    </w:p>
    <w:p>
      <w:pPr>
        <w:pStyle w:val="ListBullet"/>
      </w:pPr>
      <w:r>
        <w:rPr>
          <w:b w:val="0"/>
        </w:rPr>
        <w:t>GitOps 声明式部署与漂移检测（DGO）</w:t>
      </w:r>
    </w:p>
    <w:p>
      <w:pPr>
        <w:pStyle w:val="ListBullet"/>
      </w:pPr>
      <w:r>
        <w:rPr>
          <w:b w:val="0"/>
        </w:rPr>
        <w:t>TiDB（HTAP 数仓）、CRDB（平台库+读写分离）、Milvus（向量+语义缓存）、Pulsar（任务队列+DLQ）部署与验证</w:t>
      </w:r>
    </w:p>
    <w:p>
      <w:pPr>
        <w:pStyle w:val="ListBullet"/>
      </w:pPr>
      <w:r>
        <w:rPr>
          <w:b w:val="0"/>
        </w:rPr>
        <w:t>容量诚实口径：单副本容量→线性外推公式（ADR-004）</w:t>
      </w:r>
    </w:p>
    <w:p>
      <w:pPr>
        <w:pStyle w:val="ListBullet"/>
      </w:pPr>
      <w:r>
        <w:rPr>
          <w:b/>
        </w:rPr>
        <w:t>企业任务</w:t>
      </w:r>
      <w:r>
        <w:rPr>
          <w:b w:val="0"/>
        </w:rPr>
        <w:t>：为集群扩容一个 worker 节点并验证 HPA 生效</w:t>
      </w:r>
    </w:p>
    <w:p>
      <w:pPr>
        <w:pStyle w:val="Heading3"/>
      </w:pPr>
      <w:r>
        <w:rPr>
          <w:b w:val="0"/>
        </w:rPr>
        <w:t>LF3 智能查询服务开发：NL2SQL 与知识引擎（应用/分析 | 18 学时）</w:t>
      </w:r>
    </w:p>
    <w:p>
      <w:pPr>
        <w:pStyle w:val="ListBullet"/>
      </w:pPr>
      <w:r>
        <w:rPr>
          <w:b w:val="0"/>
        </w:rPr>
        <w:t>NL2SQL 管线：意图理解→Schema Linking（列级反向索引）→LLM 生成→自校验→沙箱执行</w:t>
      </w:r>
    </w:p>
    <w:p>
      <w:pPr>
        <w:pStyle w:val="ListBullet"/>
      </w:pPr>
      <w:r>
        <w:rPr>
          <w:b w:val="0"/>
        </w:rPr>
        <w:t>RAG 混合检索：Milvus 向量 + CRDB 关键词 + 精确匹配三层；chunk 粒度策略</w:t>
      </w:r>
    </w:p>
    <w:p>
      <w:pPr>
        <w:pStyle w:val="ListBullet"/>
      </w:pPr>
      <w:r>
        <w:rPr>
          <w:b w:val="0"/>
        </w:rPr>
        <w:t>语义缓存（cosine≥0.92）与 FAQ 直答（人工修正回流，420ms 直答实例剖析）</w:t>
      </w:r>
    </w:p>
    <w:p>
      <w:pPr>
        <w:pStyle w:val="ListBullet"/>
      </w:pPr>
      <w:r>
        <w:rPr>
          <w:b w:val="0"/>
        </w:rPr>
        <w:t>LLM 降级链：主模型→备模型→确定性模板（DPC）</w:t>
      </w:r>
    </w:p>
    <w:p>
      <w:pPr>
        <w:pStyle w:val="ListBullet"/>
      </w:pPr>
      <w:r>
        <w:rPr>
          <w:b/>
        </w:rPr>
        <w:t>企业任务</w:t>
      </w:r>
      <w:r>
        <w:rPr>
          <w:b w:val="0"/>
        </w:rPr>
        <w:t>：为"售后域"扩充知识库索引并跑通 3 条新问句</w:t>
      </w:r>
    </w:p>
    <w:p>
      <w:pPr>
        <w:pStyle w:val="Heading3"/>
      </w:pPr>
      <w:r>
        <w:rPr>
          <w:b w:val="0"/>
        </w:rPr>
        <w:t>LF4 数据质量治理 Agent（分析/评价 | 12 学时）</w:t>
      </w:r>
    </w:p>
    <w:p>
      <w:pPr>
        <w:pStyle w:val="ListBullet"/>
      </w:pPr>
      <w:r>
        <w:rPr>
          <w:b w:val="0"/>
        </w:rPr>
        <w:t>规则引擎为主、LLM 为辅的混合模式（资料[2]§3.4）</w:t>
      </w:r>
    </w:p>
    <w:p>
      <w:pPr>
        <w:pStyle w:val="ListBullet"/>
      </w:pPr>
      <w:r>
        <w:rPr>
          <w:b w:val="0"/>
        </w:rPr>
        <w:t>五类规则：空值率/值域/新鲜度/行数波动/唯一性；质量扫描→根因溯源（血缘）→修复建议→审批闭环</w:t>
      </w:r>
    </w:p>
    <w:p>
      <w:pPr>
        <w:pStyle w:val="ListBullet"/>
      </w:pPr>
      <w:r>
        <w:rPr>
          <w:b w:val="0"/>
        </w:rPr>
        <w:t>NebulaGraph 血缘与 CRDB 双写兜底</w:t>
      </w:r>
    </w:p>
    <w:p>
      <w:pPr>
        <w:pStyle w:val="ListBullet"/>
      </w:pPr>
      <w:r>
        <w:rPr>
          <w:b/>
        </w:rPr>
        <w:t>企业任务</w:t>
      </w:r>
      <w:r>
        <w:rPr>
          <w:b w:val="0"/>
        </w:rPr>
        <w:t>：为售后域设计 4 条质量规则并触发一次巡检</w:t>
      </w:r>
    </w:p>
    <w:p>
      <w:pPr>
        <w:pStyle w:val="Heading3"/>
      </w:pPr>
      <w:r>
        <w:rPr>
          <w:b w:val="0"/>
        </w:rPr>
        <w:t>LF5 ETL 编排 Agent 与安全护栏（评价/创造 | 12 学时）</w:t>
      </w:r>
    </w:p>
    <w:p>
      <w:pPr>
        <w:pStyle w:val="ListBullet"/>
      </w:pPr>
      <w:r>
        <w:rPr>
          <w:b w:val="0"/>
        </w:rPr>
        <w:t>需求→模型推荐→SQL 生成→DAG 配置→人机协作审核</w:t>
      </w:r>
    </w:p>
    <w:p>
      <w:pPr>
        <w:pStyle w:val="ListBullet"/>
      </w:pPr>
      <w:r>
        <w:rPr>
          <w:b w:val="0"/>
        </w:rPr>
        <w:t>四层护栏代码级剖析：sqlglot AST 白名单 / 强制 LIMIT / 租户表授权 / 审批工作流</w:t>
      </w:r>
    </w:p>
    <w:p>
      <w:pPr>
        <w:pStyle w:val="ListBullet"/>
      </w:pPr>
      <w:r>
        <w:rPr>
          <w:b w:val="0"/>
        </w:rPr>
        <w:t>PII 启发式脱敏的词边界设计（误杀/漏杀权衡案例）</w:t>
      </w:r>
    </w:p>
    <w:p>
      <w:pPr>
        <w:pStyle w:val="ListBullet"/>
      </w:pPr>
      <w:r>
        <w:rPr>
          <w:b w:val="0"/>
        </w:rPr>
        <w:t>bcrypt 密码哈希与 Secret 管理（SCS 铁律）</w:t>
      </w:r>
    </w:p>
    <w:p>
      <w:pPr>
        <w:pStyle w:val="ListBullet"/>
      </w:pPr>
      <w:r>
        <w:rPr>
          <w:b/>
        </w:rPr>
        <w:t>企业任务</w:t>
      </w:r>
      <w:r>
        <w:rPr>
          <w:b w:val="0"/>
        </w:rPr>
        <w:t>：提交一个会被护栏拦截的 PR 并解释拦截层</w:t>
      </w:r>
    </w:p>
    <w:p>
      <w:pPr>
        <w:pStyle w:val="Heading3"/>
      </w:pPr>
      <w:r>
        <w:rPr>
          <w:b w:val="0"/>
        </w:rPr>
        <w:t>LF6 测试、性能验证与发布运维（评价/创造 | 18 学时 + 答辩 6 学时）</w:t>
      </w:r>
    </w:p>
    <w:p>
      <w:pPr>
        <w:pStyle w:val="ListBullet"/>
      </w:pPr>
      <w:r>
        <w:rPr>
          <w:b w:val="0"/>
        </w:rPr>
        <w:t>TDD/BDD/SDD：pytest 覆盖率门禁 80%（TCG）</w:t>
      </w:r>
    </w:p>
    <w:p>
      <w:pPr>
        <w:pStyle w:val="ListBullet"/>
      </w:pPr>
      <w:r>
        <w:rPr>
          <w:b w:val="0"/>
        </w:rPr>
        <w:t>Playwright 无头端到端；k6 阶梯压测与拐点判读；NL2SQL 评测集与 bootstrap CI（教授方法学）</w:t>
      </w:r>
    </w:p>
    <w:p>
      <w:pPr>
        <w:pStyle w:val="ListBullet"/>
      </w:pPr>
      <w:r>
        <w:rPr>
          <w:b w:val="0"/>
        </w:rPr>
        <w:t>混沌降级验证（Redis 故障注入）；优雅关停与备份恢复（20MB NFS 备份产物）</w:t>
      </w:r>
    </w:p>
    <w:p>
      <w:pPr>
        <w:pStyle w:val="ListBullet"/>
      </w:pPr>
      <w:r>
        <w:rPr>
          <w:b w:val="0"/>
        </w:rPr>
        <w:t>发布决策：readyz 全绿 + 门禁通过才可上线</w:t>
      </w:r>
    </w:p>
    <w:p>
      <w:pPr>
        <w:pStyle w:val="ListBullet"/>
      </w:pPr>
      <w:r>
        <w:rPr>
          <w:b/>
        </w:rPr>
        <w:t>综合项目答辩</w:t>
      </w:r>
      <w:r>
        <w:rPr>
          <w:b w:val="0"/>
        </w:rPr>
        <w:t>（费曼式）</w:t>
      </w:r>
    </w:p>
    <w:p>
      <w:pPr>
        <w:pStyle w:val="Heading3"/>
      </w:pPr>
      <w:r>
        <w:rPr>
          <w:b w:val="0"/>
        </w:rPr>
        <w:t>目标-内容矩阵（布鲁姆 × 学习领域）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布鲁姆层级</w:t>
            </w:r>
          </w:p>
        </w:tc>
        <w:tc>
          <w:tcPr>
            <w:tcW w:type="dxa" w:w="1345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LF1</w:t>
            </w:r>
          </w:p>
        </w:tc>
        <w:tc>
          <w:tcPr>
            <w:tcW w:type="dxa" w:w="1345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LF2</w:t>
            </w:r>
          </w:p>
        </w:tc>
        <w:tc>
          <w:tcPr>
            <w:tcW w:type="dxa" w:w="1345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LF3</w:t>
            </w:r>
          </w:p>
        </w:tc>
        <w:tc>
          <w:tcPr>
            <w:tcW w:type="dxa" w:w="1345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LF4</w:t>
            </w:r>
          </w:p>
        </w:tc>
        <w:tc>
          <w:tcPr>
            <w:tcW w:type="dxa" w:w="1345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LF5</w:t>
            </w:r>
          </w:p>
        </w:tc>
        <w:tc>
          <w:tcPr>
            <w:tcW w:type="dxa" w:w="1345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LF6</w:t>
            </w:r>
          </w:p>
        </w:tc>
      </w:tr>
      <w:tr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记忆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○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○</w:t>
            </w:r>
          </w:p>
        </w:tc>
        <w:tc>
          <w:tcPr>
            <w:tcW w:type="dxa" w:w="1345"/>
          </w:tcPr>
          <w:p>
            <w:pPr>
              <w:spacing w:after="20"/>
            </w:pPr>
          </w:p>
        </w:tc>
        <w:tc>
          <w:tcPr>
            <w:tcW w:type="dxa" w:w="1345"/>
          </w:tcPr>
          <w:p>
            <w:pPr>
              <w:spacing w:after="20"/>
            </w:pPr>
          </w:p>
        </w:tc>
        <w:tc>
          <w:tcPr>
            <w:tcW w:type="dxa" w:w="1345"/>
          </w:tcPr>
          <w:p>
            <w:pPr>
              <w:spacing w:after="20"/>
            </w:pPr>
          </w:p>
        </w:tc>
      </w:tr>
      <w:tr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理解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○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应用</w:t>
            </w:r>
          </w:p>
        </w:tc>
        <w:tc>
          <w:tcPr>
            <w:tcW w:type="dxa" w:w="1345"/>
          </w:tcPr>
          <w:p>
            <w:pPr>
              <w:spacing w:after="20"/>
            </w:pP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○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○</w:t>
            </w:r>
          </w:p>
        </w:tc>
      </w:tr>
      <w:tr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分析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○</w:t>
            </w:r>
          </w:p>
        </w:tc>
      </w:tr>
      <w:tr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评价</w:t>
            </w:r>
          </w:p>
        </w:tc>
        <w:tc>
          <w:tcPr>
            <w:tcW w:type="dxa" w:w="1345"/>
          </w:tcPr>
          <w:p>
            <w:pPr>
              <w:spacing w:after="20"/>
            </w:pP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○</w:t>
            </w:r>
          </w:p>
        </w:tc>
        <w:tc>
          <w:tcPr>
            <w:tcW w:type="dxa" w:w="1345"/>
          </w:tcPr>
          <w:p>
            <w:pPr>
              <w:spacing w:after="20"/>
            </w:pP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</w:tr>
      <w:tr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创造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○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  <w:tc>
          <w:tcPr>
            <w:tcW w:type="dxa" w:w="1345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●</w:t>
            </w:r>
          </w:p>
        </w:tc>
      </w:tr>
    </w:tbl>
    <w:p>
      <w:pPr>
        <w:spacing w:after="40"/>
      </w:pPr>
    </w:p>
    <w:p>
      <w:r>
        <w:rPr>
          <w:b w:val="0"/>
        </w:rPr>
        <w:t>（●主攻 ○渗透）</w:t>
      </w:r>
    </w:p>
    <w:p>
      <w:pPr>
        <w:pStyle w:val="Heading2"/>
      </w:pPr>
      <w:r>
        <w:rPr>
          <w:b w:val="0"/>
        </w:rPr>
        <w:t>四、教学实施建议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六步法节奏</w:t>
      </w:r>
      <w:r>
        <w:rPr>
          <w:b w:val="0"/>
        </w:rPr>
        <w:t>（每讲 4 学时校内）：资讯 30′→计划 30′→决策 20′→实施 90′→检查 40′→</w:t>
      </w:r>
      <w:r>
        <w:rPr>
          <w:b/>
        </w:rPr>
        <w:t>评价+学生讲堂 30′</w:t>
      </w:r>
      <w:r>
        <w:rPr>
          <w:b w:val="0"/>
        </w:rPr>
        <w:t>（费曼）。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企业站 2 学时</w:t>
      </w:r>
      <w:r>
        <w:rPr>
          <w:b w:val="0"/>
        </w:rPr>
        <w:t>：真实 dap-v2 仓库分支上完成任务，企业导师按工程标准评审 PR（代码规范/测试/文档三查）。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/>
        </w:rPr>
        <w:t>评测驱动</w:t>
      </w:r>
      <w:r>
        <w:rPr>
          <w:b w:val="0"/>
        </w:rPr>
        <w:t>：课程内置"班级评测集"，学生提交的改进跑评测集看准确率变化——用数据说话（HSA）。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/>
        </w:rPr>
        <w:t>诚实文化</w:t>
      </w:r>
      <w:r>
        <w:rPr>
          <w:b w:val="0"/>
        </w:rPr>
        <w:t>：所有实验报告必须含"未验证/未完成清单"栏，虚报按 0 分处理并要求重做。</w:t>
      </w:r>
    </w:p>
    <w:p>
      <w:pPr>
        <w:pStyle w:val="Heading2"/>
      </w:pPr>
      <w:r>
        <w:rPr>
          <w:b w:val="0"/>
        </w:rPr>
        <w:t>五、考核评价（IHK 式过程考核）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考核项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评价主体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实训任务单（16 次）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六步法任务工单（资讯/计划/实施/检查自评）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企业站实践（PR 评审）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代码提交质量、评审通过率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/>
                <w:sz w:val="19"/>
              </w:rPr>
              <w:t>费曼学生讲堂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每讲 30′随机抽讲 + 同伴互评量表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师生共评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项目里程碑（3 次）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LF2/LF4/LF6 结点的作品验收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综合项目与</w:t>
            </w:r>
            <w:r>
              <w:rPr>
                <w:b/>
                <w:sz w:val="19"/>
              </w:rPr>
              <w:t>费曼答辩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团队作品 + 10 分钟"讲给业务方听" + 专业对话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答辩组（含企业）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理论笔试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布鲁姆分层命题（记忆/理解/分析/评价 4 档）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</w:tr>
    </w:tbl>
    <w:p>
      <w:pPr>
        <w:spacing w:after="40"/>
      </w:pPr>
    </w:p>
    <w:p>
      <w:r>
        <w:rPr>
          <w:b/>
        </w:rPr>
        <w:t>及格线</w:t>
      </w:r>
      <w:r>
        <w:rPr>
          <w:b w:val="0"/>
        </w:rPr>
        <w:t>：总评 ≥60 且综合项目答辩 ≥50。</w:t>
      </w:r>
      <w:r>
        <w:rPr>
          <w:b/>
        </w:rPr>
        <w:t>里程碑补考</w:t>
      </w:r>
      <w:r>
        <w:rPr>
          <w:b w:val="0"/>
        </w:rPr>
        <w:t>：未达标里程碑可在下一周补做，最多 2 次。</w:t>
      </w:r>
    </w:p>
    <w:p>
      <w:pPr>
        <w:pStyle w:val="Heading2"/>
      </w:pPr>
      <w:r>
        <w:rPr>
          <w:b w:val="0"/>
        </w:rPr>
        <w:t>六、教学资源</w:t>
      </w:r>
    </w:p>
    <w:p>
      <w:pPr>
        <w:pStyle w:val="ListBullet"/>
      </w:pPr>
      <w:r>
        <w:rPr>
          <w:b/>
        </w:rPr>
        <w:t>载体仓库</w:t>
      </w:r>
      <w:r>
        <w:rPr>
          <w:b w:val="0"/>
        </w:rPr>
        <w:t>：dap-v2（含 8 份 ADR/SAD/TEST-REPORT/RUNBOOK 全套工程文档）</w:t>
      </w:r>
    </w:p>
    <w:p>
      <w:pPr>
        <w:pStyle w:val="ListBullet"/>
      </w:pPr>
      <w:r>
        <w:rPr>
          <w:b w:val="0"/>
        </w:rPr>
        <w:t>项目原始资料：《数仓不需要更多人，需要 Data Agent》落地实践手册、《三个 Agent 落地数仓实战复盘》</w:t>
      </w:r>
    </w:p>
    <w:p>
      <w:pPr>
        <w:pStyle w:val="ListBullet"/>
      </w:pPr>
      <w:r>
        <w:rPr>
          <w:b w:val="0"/>
        </w:rPr>
        <w:t>课程仓库：</w:t>
      </w:r>
      <w:r>
        <w:rPr>
          <w:rFonts w:ascii="Consolas" w:hAnsi="Consolas" w:eastAsia="Menlo"/>
          <w:b w:val="0"/>
          <w:color w:val="0B548A"/>
          <w:sz w:val="20"/>
        </w:rPr>
        <w:t>ai-data-platform-course</w:t>
      </w:r>
      <w:r>
        <w:rPr>
          <w:b w:val="0"/>
        </w:rPr>
        <w:t>（本套资料 + 每讲 PPT + 实验指导 + 同步脚本）</w:t>
      </w:r>
    </w:p>
    <w:p>
      <w:pPr>
        <w:pStyle w:val="ListBullet"/>
      </w:pPr>
      <w:r>
        <w:rPr>
          <w:b w:val="0"/>
        </w:rPr>
        <w:t>实训环境：10.167.2.175/176 双节点 K8S 集群（42 命名空间共享生产环境，课程专用 ns）</w:t>
      </w:r>
    </w:p>
    <w:p>
      <w:pPr>
        <w:pStyle w:val="Heading2"/>
      </w:pPr>
      <w:r>
        <w:rPr>
          <w:b w:val="0"/>
        </w:rPr>
        <w:t>七、编制说明</w:t>
      </w:r>
    </w:p>
    <w:p>
      <w:r>
        <w:rPr>
          <w:b w:val="0"/>
        </w:rPr>
        <w:t>本标准 2026-10-31 编制；载体项目 dap-v2 更新时，由课程仓库同步脚本（</w:t>
      </w:r>
      <w:r>
        <w:rPr>
          <w:rFonts w:ascii="Consolas" w:hAnsi="Consolas" w:eastAsia="Menlo"/>
          <w:b w:val="0"/>
          <w:color w:val="0B548A"/>
          <w:sz w:val="20"/>
        </w:rPr>
        <w:t>scripts/sync-from-project.sh</w:t>
      </w:r>
      <w:r>
        <w:rPr>
          <w:b w:val="0"/>
        </w:rPr>
        <w:t xml:space="preserve">）自动将 TEST-REPORT/SAD 等证据资源同步至 </w:t>
      </w:r>
      <w:r>
        <w:rPr>
          <w:rFonts w:ascii="Consolas" w:hAnsi="Consolas" w:eastAsia="Menlo"/>
          <w:b w:val="0"/>
          <w:color w:val="0B548A"/>
          <w:sz w:val="20"/>
        </w:rPr>
        <w:t>docs/07-项目资源/</w:t>
      </w:r>
      <w:r>
        <w:rPr>
          <w:b w:val="0"/>
        </w:rPr>
        <w:t>，实现</w:t>
      </w:r>
      <w:r>
        <w:rPr>
          <w:b/>
        </w:rPr>
        <w:t>课证融通、课随产动</w:t>
      </w:r>
      <w:r>
        <w:rPr>
          <w:b w:val="0"/>
        </w:rPr>
        <w:t>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课程标准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