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《AI驱动的数据中台项目实战》课程仓库</w:t>
      </w:r>
    </w:p>
    <w:p>
      <w:r>
        <w:rPr>
          <w:b/>
        </w:rPr>
        <w:t>AI-Driven Data Platform Project Practicum ｜ 德国双元制本土化教学 · 全套授课资料</w:t>
      </w:r>
    </w:p>
    <w:p>
      <w:r>
        <w:rPr>
          <w:b w:val="0"/>
        </w:rPr>
        <w:t xml:space="preserve">以真实投产的 </w:t>
      </w:r>
      <w:r>
        <w:rPr>
          <w:b/>
        </w:rPr>
        <w:t>DAP-v2：Data Agent 数据中台平台</w:t>
      </w:r>
      <w:r>
        <w:rPr>
          <w:b w:val="0"/>
        </w:rPr>
        <w:t xml:space="preserve"> 为完整载体，按德国双元制教育模式（Duale Ausbildung）设计实施，辅以</w:t>
      </w:r>
      <w:r>
        <w:rPr>
          <w:b/>
        </w:rPr>
        <w:t>费曼学习法</w:t>
      </w:r>
      <w:r>
        <w:rPr>
          <w:b w:val="0"/>
        </w:rPr>
        <w:t>与</w:t>
      </w:r>
      <w:r>
        <w:rPr>
          <w:b/>
        </w:rPr>
        <w:t>布鲁姆认知分类</w:t>
      </w:r>
      <w:r>
        <w:rPr>
          <w:b w:val="0"/>
        </w:rPr>
        <w:t>，覆盖"架构规划 → 基础设施 → 智能查询 → 质量治理 → ETL 编排 → 测试发布"全生命周期的 96 学时项目实战课程。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课程代码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总学时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学时结构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适用专业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开课学期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BDP-4102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96（16 周 × 6）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理论 32 + 实践 64（1:2）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大数据技术、人工智能技术应用（高职高专）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第 5 学期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双元安排</w:t>
      </w:r>
      <w:r>
        <w:rPr>
          <w:b w:val="0"/>
        </w:rPr>
        <w:t>：每周校内理实一体 4 学时（六步法：资讯→计划→决策→实施→检查→评价）＋ 企业实训站 2 学时（真实两节点 K8S 集群，向课程分支提 PR）。</w:t>
      </w:r>
    </w:p>
    <w:p>
      <w:pPr>
        <w:pStyle w:val="ListBullet"/>
      </w:pPr>
      <w:r>
        <w:rPr>
          <w:b/>
        </w:rPr>
        <w:t>教学方法</w:t>
      </w:r>
      <w:r>
        <w:rPr>
          <w:b w:val="0"/>
        </w:rPr>
        <w:t>：每讲固定"学生讲堂"（费曼：讲不清 = 没掌握）；教学目标与考核按布鲁姆六层级标注命题。</w:t>
      </w:r>
    </w:p>
    <w:p>
      <w:pPr>
        <w:pStyle w:val="ListBullet"/>
      </w:pPr>
      <w:r>
        <w:rPr>
          <w:b/>
        </w:rPr>
        <w:t>评价方式</w:t>
      </w:r>
      <w:r>
        <w:rPr>
          <w:b w:val="0"/>
        </w:rPr>
        <w:t>：IHK 式过程考核（任务单 30% + PR 15% + 学生讲堂 10% + 里程碑 15% + 综合答辩 20% + 笔试 10%）。</w:t>
      </w:r>
    </w:p>
    <w:p>
      <w:pPr>
        <w:pStyle w:val="Heading2"/>
      </w:pPr>
      <w:r>
        <w:rPr>
          <w:b w:val="0"/>
        </w:rPr>
        <w:t>目录结构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ai-data-platform-course/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README.md                          # 本文件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docs/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01-课程标准/                   # 课程标准（课程宪法）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02-授课计划/                   # 16 周授课计划总表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03-教学方案/                   # L01–L16 逐讲学习情境方案（六步法全设计）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04-课件PPT/                    # L01–L16 每讲授课 PPT（.pptx）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05-实验指导/                   # L01–L16 逐讲实验指导书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06-评价体系/                   # 8 份考核量表与模板（EVAL-00～07）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└── 07-项目资源/                   # dap-v2 工程文档同步快照 + 行业参考资料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export/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├── word/                          # 全部教学文档 Word 版（学生分发用）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│   └── pdf/                           # 全部教学文档 PDF 版（学生分发用）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└── scripts/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├── sync-from-project.sh           # dap-v2 更新 → 课程资源同步（课随产动）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├── build_ppt.py                   # 从教学方案生成 16 讲 PPT（单一事实源驱动）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└── build_docs.py                  # 全部 md → Word + PDF 导出</w:t>
      </w:r>
    </w:p>
    <w:p>
      <w:pPr>
        <w:pStyle w:val="Heading2"/>
      </w:pPr>
      <w:r>
        <w:rPr>
          <w:b w:val="0"/>
        </w:rPr>
        <w:t>快速上手</w:t>
      </w:r>
    </w:p>
    <w:p>
      <w:pPr>
        <w:pStyle w:val="Heading3"/>
      </w:pPr>
      <w:r>
        <w:rPr>
          <w:b w:val="0"/>
        </w:rPr>
        <w:t>教师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备课：按周次读 </w:t>
      </w:r>
      <w:r>
        <w:rPr>
          <w:rFonts w:ascii="Consolas" w:hAnsi="Consolas" w:eastAsia="Menlo"/>
          <w:b w:val="0"/>
          <w:color w:val="0B548A"/>
          <w:sz w:val="20"/>
        </w:rPr>
        <w:t>docs/03-教学方案/Lxx-*.md</w:t>
      </w:r>
      <w:r>
        <w:rPr>
          <w:b w:val="0"/>
        </w:rPr>
        <w:t>（含六步法分钟级过程设计、重点难点突破策略、检查单）。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授课：直接使用 </w:t>
      </w:r>
      <w:r>
        <w:rPr>
          <w:rFonts w:ascii="Consolas" w:hAnsi="Consolas" w:eastAsia="Menlo"/>
          <w:b w:val="0"/>
          <w:color w:val="0B548A"/>
          <w:sz w:val="20"/>
        </w:rPr>
        <w:t>docs/04-课件PPT/Lxx-*.pptx</w:t>
      </w:r>
      <w:r>
        <w:rPr>
          <w:b w:val="0"/>
        </w:rPr>
        <w:t xml:space="preserve">；如需调整，改教学方案 md 后运行 </w:t>
      </w:r>
      <w:r>
        <w:rPr>
          <w:rFonts w:ascii="Consolas" w:hAnsi="Consolas" w:eastAsia="Menlo"/>
          <w:b w:val="0"/>
          <w:color w:val="0B548A"/>
          <w:sz w:val="20"/>
        </w:rPr>
        <w:t>python3 scripts/build_ppt.py</w:t>
      </w:r>
      <w:r>
        <w:rPr>
          <w:b w:val="0"/>
        </w:rPr>
        <w:t xml:space="preserve"> 重新生成（PPT 由教学方案驱动生成，改 PPT 不如改方案）。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分发：</w:t>
      </w:r>
      <w:r>
        <w:rPr>
          <w:rFonts w:ascii="Consolas" w:hAnsi="Consolas" w:eastAsia="Menlo"/>
          <w:b w:val="0"/>
          <w:color w:val="0B548A"/>
          <w:sz w:val="20"/>
        </w:rPr>
        <w:t>export/word/</w:t>
      </w:r>
      <w:r>
        <w:rPr>
          <w:b w:val="0"/>
        </w:rPr>
        <w:t xml:space="preserve"> 与 </w:t>
      </w:r>
      <w:r>
        <w:rPr>
          <w:rFonts w:ascii="Consolas" w:hAnsi="Consolas" w:eastAsia="Menlo"/>
          <w:b w:val="0"/>
          <w:color w:val="0B548A"/>
          <w:sz w:val="20"/>
        </w:rPr>
        <w:t>export/pdf/</w:t>
      </w:r>
      <w:r>
        <w:rPr>
          <w:b w:val="0"/>
        </w:rPr>
        <w:t xml:space="preserve"> 内为全部文档的可分发版本。</w:t>
      </w:r>
    </w:p>
    <w:p>
      <w:pPr>
        <w:pStyle w:val="Heading3"/>
      </w:pPr>
      <w:r>
        <w:rPr>
          <w:b w:val="0"/>
        </w:rPr>
        <w:t>学生</w:t>
      </w:r>
    </w:p>
    <w:p>
      <w:pPr>
        <w:pStyle w:val="ListBullet"/>
      </w:pPr>
      <w:r>
        <w:rPr>
          <w:b w:val="0"/>
        </w:rPr>
        <w:t>每周按《授课计划总表》对应讲次，领取实验指导（</w:t>
      </w:r>
      <w:r>
        <w:rPr>
          <w:rFonts w:ascii="Consolas" w:hAnsi="Consolas" w:eastAsia="Menlo"/>
          <w:b w:val="0"/>
          <w:color w:val="0B548A"/>
          <w:sz w:val="20"/>
        </w:rPr>
        <w:t>05-实验指导/</w:t>
      </w:r>
      <w:r>
        <w:rPr>
          <w:b w:val="0"/>
        </w:rPr>
        <w:t>）与任务工单（</w:t>
      </w:r>
      <w:r>
        <w:rPr>
          <w:rFonts w:ascii="Consolas" w:hAnsi="Consolas" w:eastAsia="Menlo"/>
          <w:b w:val="0"/>
          <w:color w:val="0B548A"/>
          <w:sz w:val="20"/>
        </w:rPr>
        <w:t>06-评价体系/01-六步法任务工单模板.md</w:t>
      </w:r>
      <w:r>
        <w:rPr>
          <w:b w:val="0"/>
        </w:rPr>
        <w:t>）。</w:t>
      </w:r>
    </w:p>
    <w:p>
      <w:pPr>
        <w:pStyle w:val="ListBullet"/>
      </w:pPr>
      <w:r>
        <w:rPr>
          <w:b w:val="0"/>
        </w:rPr>
        <w:t xml:space="preserve">企业站实践向课程分支提交 PR，评审标准见 </w:t>
      </w:r>
      <w:r>
        <w:rPr>
          <w:rFonts w:ascii="Consolas" w:hAnsi="Consolas" w:eastAsia="Menlo"/>
          <w:b w:val="0"/>
          <w:color w:val="0B548A"/>
          <w:sz w:val="20"/>
        </w:rPr>
        <w:t>06-评价体系/03-企业站PR评审单.md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结课档案袋要求见 </w:t>
      </w:r>
      <w:r>
        <w:rPr>
          <w:rFonts w:ascii="Consolas" w:hAnsi="Consolas" w:eastAsia="Menlo"/>
          <w:b w:val="0"/>
          <w:color w:val="0B548A"/>
          <w:sz w:val="20"/>
        </w:rPr>
        <w:t>06-评价体系/07-学习档案袋与诚信承诺.md</w:t>
      </w:r>
      <w:r>
        <w:rPr>
          <w:b w:val="0"/>
        </w:rPr>
        <w:t>。</w:t>
      </w:r>
    </w:p>
    <w:p>
      <w:pPr>
        <w:pStyle w:val="Heading3"/>
      </w:pPr>
      <w:r>
        <w:rPr>
          <w:b w:val="0"/>
        </w:rPr>
        <w:t>课随产动（长期维护机制）</w:t>
      </w:r>
    </w:p>
    <w:p>
      <w:r>
        <w:rPr>
          <w:b w:val="0"/>
        </w:rPr>
        <w:t>载体项目 dap-v2 更新后：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./scripts/sync-from-project.sh          # 同步 ADR/SAD/TEST-REPORT/RUNBOOK 等证据文档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python3 scripts/build_ppt.py            # 如教学方案有修订，重出 PPT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python3 scripts/build_docs.py           # 重出 Word/PDF 导出</w:t>
      </w:r>
    </w:p>
    <w:p>
      <w:pPr>
        <w:pStyle w:val="Heading2"/>
      </w:pPr>
      <w:r>
        <w:rPr>
          <w:b w:val="0"/>
        </w:rPr>
        <w:t>文档规范</w:t>
      </w:r>
    </w:p>
    <w:p>
      <w:pPr>
        <w:pStyle w:val="ListBullet"/>
      </w:pPr>
      <w:r>
        <w:rPr>
          <w:b w:val="0"/>
        </w:rPr>
        <w:t>所有 md 均为 GFM；表格口径与课程标准一致（学时/占比/指标）。</w:t>
      </w:r>
    </w:p>
    <w:p>
      <w:pPr>
        <w:pStyle w:val="ListBullet"/>
      </w:pPr>
      <w:r>
        <w:rPr>
          <w:b w:val="0"/>
        </w:rPr>
        <w:t>指标引用 dap-v2 真实数据：FAQ 直答 420ms、LLM 全链路 56s、held-out 评测 91.7%（CI 79.2–100）、k6 140RPS 拐点、105.9 万订单零售数仓。</w:t>
      </w:r>
    </w:p>
    <w:p>
      <w:pPr>
        <w:pStyle w:val="ListBullet"/>
      </w:pPr>
      <w:r>
        <w:rPr>
          <w:b w:val="0"/>
        </w:rPr>
        <w:t>诚实文化（HSA）：所有学生提交物含"未验证/未完成清单"栏；虚报按 0 分处理。</w:t>
      </w:r>
    </w:p>
    <w:p>
      <w:pPr>
        <w:pStyle w:val="Heading2"/>
      </w:pPr>
      <w:r>
        <w:rPr>
          <w:b w:val="0"/>
        </w:rPr>
        <w:t>版本</w:t>
      </w:r>
    </w:p>
    <w:p>
      <w:pPr>
        <w:pStyle w:val="ListBullet"/>
      </w:pPr>
      <w:r>
        <w:rPr>
          <w:b w:val="0"/>
        </w:rPr>
        <w:t>v1.0（2026-10-31）：全量首发——课程标准、授课计划、16 份教学方案、16 份 PPT、16 份实验指导、8 份评价文档、项目资源同步与导出脚本。</w:t>
      </w:r>
    </w:p>
    <w:p>
      <w:pPr>
        <w:pStyle w:val="ListBullet"/>
      </w:pPr>
      <w:r>
        <w:rPr>
          <w:b w:val="0"/>
        </w:rPr>
        <w:t>载体项目：dap-v2（gateway/worker/tools/sqlguard；两节点 K8S 生产级实战项目）。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README-课程总览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