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</w:rPr>
        <w:t>项目资源索引（docs/07-项目资源）</w:t>
      </w:r>
    </w:p>
    <w:p>
      <w:pPr>
        <w:shd w:val="clear" w:fill="EEF3FB"/>
      </w:pPr>
      <w:r>
        <w:rPr>
          <w:b w:val="0"/>
          <w:i/>
          <w:color w:val="6B7A90"/>
        </w:rPr>
        <w:t>本目录承载两类资源：</w:t>
      </w:r>
      <w:r>
        <w:rPr>
          <w:b/>
          <w:i/>
          <w:color w:val="6B7A90"/>
        </w:rPr>
        <w:t>载体项目 dap-v2 的工程文档证据</w:t>
      </w:r>
      <w:r>
        <w:rPr>
          <w:b w:val="0"/>
          <w:i/>
          <w:color w:val="6B7A90"/>
        </w:rPr>
        <w:t xml:space="preserve">（由 </w:t>
      </w:r>
      <w:r>
        <w:rPr>
          <w:rFonts w:ascii="Consolas" w:hAnsi="Consolas" w:eastAsia="Menlo"/>
          <w:b w:val="0"/>
          <w:i/>
          <w:color w:val="0B548A"/>
          <w:sz w:val="20"/>
        </w:rPr>
        <w:t>scripts/sync-from-project.sh</w:t>
      </w:r>
      <w:r>
        <w:rPr>
          <w:b w:val="0"/>
          <w:i/>
          <w:color w:val="6B7A90"/>
        </w:rPr>
        <w:t xml:space="preserve"> 同步，课随产动）与</w:t>
      </w:r>
      <w:r>
        <w:rPr>
          <w:b/>
          <w:i/>
          <w:color w:val="6B7A90"/>
        </w:rPr>
        <w:t>行业原始参考资料</w:t>
      </w:r>
      <w:r>
        <w:rPr>
          <w:b w:val="0"/>
          <w:i/>
          <w:color w:val="6B7A90"/>
        </w:rPr>
        <w:t>（课程立项依据）。</w:t>
      </w:r>
    </w:p>
    <w:p>
      <w:pPr>
        <w:pStyle w:val="Heading2"/>
      </w:pPr>
      <w:r>
        <w:rPr>
          <w:b w:val="0"/>
        </w:rPr>
        <w:t>一、dap-v2 工程文档（</w:t>
      </w:r>
      <w:r>
        <w:rPr>
          <w:rFonts w:ascii="Consolas" w:hAnsi="Consolas" w:eastAsia="Menlo"/>
          <w:b w:val="0"/>
          <w:color w:val="0B548A"/>
          <w:sz w:val="20"/>
        </w:rPr>
        <w:t>dap-v2工程文档/</w:t>
      </w:r>
      <w:r>
        <w:rPr>
          <w:b w:val="0"/>
        </w:rPr>
        <w:t>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文件</w:t>
            </w:r>
          </w:p>
        </w:tc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用途</w:t>
            </w:r>
          </w:p>
        </w:tc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课程使用位置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ADR-001-reuse-shared-infra.md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复用共享基建决策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L03 ADR 精读、实验③</w:t>
            </w:r>
          </w:p>
        </w:tc>
      </w:tr>
      <w:tr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ADR-002-orchestration-engine.md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自研编排引擎决策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L03 ADR 精读、学生讲堂①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ADR-003-v2-parallel-to-v1.md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双轨并行迁移决策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L03 ADR 精读</w:t>
            </w:r>
          </w:p>
        </w:tc>
      </w:tr>
      <w:tr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ADR-004-capacity-honesty.md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容量诚实口径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L06 容量外推、笔试样卷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SAD.md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系统架构文档（六层架构）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L03 架构图重绘、全课程架构基准</w:t>
            </w:r>
          </w:p>
        </w:tc>
      </w:tr>
      <w:tr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TEST-REPORT.md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测试报告（基线 48 测、覆盖率 86.66%）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L15 测试金字塔、发布门禁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RUNBOOK.md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生产运维手册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L16 发布检查单、回滚预案</w:t>
            </w:r>
          </w:p>
        </w:tc>
      </w:tr>
      <w:tr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DAP-v2-README.md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项目总览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L01 课程导入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DAP-v2-PROGRESS.md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交付进度（v2-r12 全量评测 100%）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L09 FAQ 直答、课程指标引用</w:t>
            </w:r>
          </w:p>
        </w:tc>
      </w:tr>
    </w:tbl>
    <w:p>
      <w:pPr>
        <w:spacing w:after="40"/>
      </w:pPr>
    </w:p>
    <w:p>
      <w:r>
        <w:rPr>
          <w:b/>
        </w:rPr>
        <w:t>同步方式</w:t>
      </w:r>
      <w:r>
        <w:rPr>
          <w:b w:val="0"/>
        </w:rPr>
        <w:t>：dap-v2 仓库更新后，在课程仓库根目录执行：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./scripts/sync-from-project.sh            # 默认找 ../dap-v2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./scripts/sync-from-project.sh /path/to/dap-v2   # 或显式指定</w:t>
      </w:r>
    </w:p>
    <w:p>
      <w:pPr>
        <w:pStyle w:val="Heading2"/>
      </w:pPr>
      <w:r>
        <w:rPr>
          <w:b w:val="0"/>
        </w:rPr>
        <w:t>二、行业参考资料（</w:t>
      </w:r>
      <w:r>
        <w:rPr>
          <w:rFonts w:ascii="Consolas" w:hAnsi="Consolas" w:eastAsia="Menlo"/>
          <w:b w:val="0"/>
          <w:color w:val="0B548A"/>
          <w:sz w:val="20"/>
        </w:rPr>
        <w:t>行业参考资料/</w:t>
      </w:r>
      <w:r>
        <w:rPr>
          <w:b w:val="0"/>
        </w:rPr>
        <w:t>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文件</w:t>
            </w:r>
          </w:p>
        </w:tc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教学用途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数仓不需要更多人，需要 Data Agent：2026 最完整的落地实践手册.pdf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课程设计蓝本之一；LF1/LF3/LF4 多处引用（课程标准以"资料[1]"标注）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ETL开发提效3倍、事故发现从4小时缩到8分钟，三个Agent落地数仓的实战复盘.pdf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课程设计蓝本之二；LF4/LF5 混合治理模式引用（"资料[2]"标注）</w:t>
            </w:r>
          </w:p>
        </w:tc>
      </w:tr>
    </w:tbl>
    <w:p>
      <w:pPr>
        <w:spacing w:after="40"/>
      </w:pPr>
    </w:p>
    <w:p>
      <w:pPr>
        <w:shd w:val="clear" w:fill="EEF3FB"/>
      </w:pPr>
      <w:r>
        <w:rPr>
          <w:b w:val="0"/>
          <w:i/>
          <w:color w:val="6B7A90"/>
        </w:rPr>
        <w:t>使用提示：两份 PDF 已按章节在《课程标准》《教学方案》中编号引用；学生阅读顺序建议为 L01 前通读手册第 1 章、L12 前精读复盘第 3 章。</w:t>
      </w:r>
    </w:p>
    <w:p>
      <w:pPr>
        <w:pStyle w:val="Heading2"/>
      </w:pPr>
      <w:r>
        <w:rPr>
          <w:b w:val="0"/>
        </w:rPr>
        <w:t>三、版本指纹</w:t>
      </w:r>
    </w:p>
    <w:p>
      <w:r>
        <w:rPr>
          <w:b w:val="0"/>
        </w:rPr>
        <w:t>每次同步后，同步脚本会输出全部工程文档的 md5 指纹。指纹变化 = 载体项目文档更新，教师应检查上表"课程使用位置"是否需要修订。</w:t>
      </w:r>
    </w:p>
    <w:p>
      <w:r>
        <w:rPr>
          <w:b w:val="0"/>
        </w:rPr>
        <w:t>*本索引由课程组维护；工程文档以 dap-v2 仓库为单一事实源，本目录为教学快照。*</w:t>
      </w:r>
    </w:p>
    <w:sectPr w:rsidR="00FC693F" w:rsidRPr="0006063C" w:rsidSect="00034616">
      <w:footerReference w:type="default" r:id="rId9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A90"/>
        <w:sz w:val="16"/>
      </w:rPr>
      <w:t>《AI驱动的数据中台项目实战》课程资料 · 由教学方案源文件导出 · README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Calibri" w:hAnsi="Calibri" w:eastAsia="宋体"/>
      <w:color w:val="2C334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1B2A4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1B2A4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2E86D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Calibri" w:hAnsi="Calibri" w:eastAsia="黑体"/>
      <w:b/>
      <w:bCs/>
      <w:i/>
      <w:iCs/>
      <w:color w:val="6B7A9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