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left"/>
      </w:pPr>
      <w:r>
        <w:rPr>
          <w:rFonts w:ascii="Times New Roman" w:hAnsi="Times New Roman" w:eastAsia="黑体"/>
          <w:b w:val="0"/>
          <w:color w:val="44546A"/>
          <w:sz w:val="18"/>
        </w:rPr>
        <w:t>AI应用基础（48课时版） · 分层实训工单</w:t>
      </w:r>
    </w:p>
    <w:p>
      <w:pPr>
        <w:spacing w:before="0" w:after="20"/>
        <w:jc w:val="center"/>
      </w:pPr>
      <w:r>
        <w:rPr>
          <w:rFonts w:ascii="Times New Roman" w:hAnsi="Times New Roman" w:eastAsia="黑体"/>
          <w:b/>
          <w:color w:val="010328"/>
          <w:sz w:val="32"/>
        </w:rPr>
        <w:t>工单M2-3a《MLP神经网络》</w:t>
      </w:r>
    </w:p>
    <w:p>
      <w:pPr>
        <w:spacing w:before="0" w:after="80"/>
        <w:jc w:val="center"/>
      </w:pPr>
      <w:r>
        <w:rPr>
          <w:rFonts w:ascii="Times New Roman" w:hAnsi="Times New Roman" w:eastAsia="宋体"/>
          <w:b w:val="0"/>
          <w:color w:val="44546A"/>
          <w:sz w:val="19"/>
        </w:rPr>
        <w:t>第12周 · 2课时（80分钟） · 理实一体 · 难度见右栏</w:t>
      </w:r>
    </w:p>
    <w:p>
      <w:pPr>
        <w:spacing w:before="0" w:after="20"/>
        <w:jc w:val="center"/>
        <w:shd w:val="clear" w:fill="010328"/>
      </w:pPr>
      <w:r>
        <w:rPr>
          <w:rFonts w:ascii="Times New Roman" w:hAnsi="Times New Roman" w:eastAsia="黑体"/>
          <w:b/>
          <w:color w:val="FFFFFF"/>
          <w:sz w:val="20"/>
        </w:rPr>
        <w:t>◆ 项目载体：重庆两江智造集团 · 设备智能运维中心</w:t>
      </w:r>
    </w:p>
    <w:p>
      <w:pPr>
        <w:spacing w:before="0" w:after="80"/>
        <w:jc w:val="left"/>
      </w:pPr>
      <w:r>
        <w:rPr>
          <w:rFonts w:ascii="Times New Roman" w:hAnsi="Times New Roman" w:eastAsia="楷体"/>
          <w:b w:val="0"/>
          <w:color w:val="44546A"/>
          <w:sz w:val="18"/>
        </w:rPr>
        <w:t>▍任务情境：第一个神经网络。王主任路过看你屏幕：'这堆圈圈连线，比我闺女画的还乱。'林工笑：'乱中有序——每个圈都在学。'工单M2-3a：MLP读懂振动频谱……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1"/>
        <w:gridCol w:w="2521"/>
        <w:gridCol w:w="2521"/>
        <w:gridCol w:w="2521"/>
      </w:tblGrid>
      <w:tr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工单号: </w:t>
            </w:r>
            <w:r>
              <w:rPr>
                <w:sz w:val="18"/>
              </w:rPr>
              <w:t>M2-3a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周次/课时: </w:t>
            </w:r>
            <w:r>
              <w:rPr>
                <w:sz w:val="18"/>
              </w:rPr>
              <w:t>第12周/2课时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地点: </w:t>
            </w:r>
            <w:r>
              <w:rPr>
                <w:sz w:val="18"/>
              </w:rPr>
              <w:t>双创中心302实训室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角色层: </w:t>
            </w:r>
            <w:r>
              <w:rPr>
                <w:sz w:val="18"/>
              </w:rPr>
              <w:t>□A □B □C □D</w:t>
            </w:r>
          </w:p>
        </w:tc>
      </w:tr>
      <w:tr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配套+工具: </w:t>
            </w:r>
            <w:r>
              <w:rPr>
                <w:sz w:val="18"/>
              </w:rPr>
              <w:t>starter+Jupyter｜主用：Jupyter（全程实训）+ PyCharm CE（starter编码）+ Git/GitHub（每周提交）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提交命名: </w:t>
            </w:r>
            <w:r>
              <w:rPr>
                <w:sz w:val="18"/>
              </w:rPr>
              <w:t>学号_姓名_M2-3a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评价: </w:t>
            </w:r>
            <w:r>
              <w:rPr>
                <w:sz w:val="18"/>
              </w:rPr>
              <w:t>D/C/B/A四级量表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反馈: </w:t>
            </w:r>
            <w:r>
              <w:rPr>
                <w:sz w:val="18"/>
              </w:rPr>
              <w:t>24小时内</w:t>
            </w:r>
          </w:p>
        </w:tc>
      </w:tr>
    </w:tbl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C04A0A"/>
          <w:sz w:val="24"/>
        </w:rPr>
        <w:t>〇、知识精讲·四要素详解（V1.2深度版·与授课PPT同源）</w:t>
      </w:r>
    </w:p>
    <w:p>
      <w:pPr>
        <w:spacing w:before="0" w:after="20"/>
      </w:pPr>
      <w:r>
        <w:rPr>
          <w:rFonts w:ascii="Times New Roman" w:hAnsi="Times New Roman" w:eastAsia="宋体"/>
          <w:b/>
          <w:color w:val="010328"/>
          <w:sz w:val="22"/>
        </w:rPr>
        <w:t>B01 神经元与MLP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定义：神经元=加权求和+激活；MLP多层堆叠学非线性边界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使用场景：传统模型画不出的弯弯曲曲分类面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应用实例：Dense(64,'relu')接Dense(1,'sigmoid')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扩展与误区：误区：层数越深越好——数据少时深网白喂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5. 原理：神经元=加权和+激活：y=f(w·x+b)——一组权重把输入'投票'成输出，MLP就是多层神经元接力加工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6. 判断依据：从线性不可分问题入门：单层画不出'异或'边界，两层就画得出——'层'的意义亲眼所见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7. 逐行解释：Dense(64,activation='relu') 64个神经元投票层；权重矩阵W形状(输入维,64)——每列一个神经元的'投票权重'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8. 进阶优化：万能近似定理：单隐层足够宽可逼近任意函数（理论底座）；深度vs宽度：层数换参数效率——现代网络选深</w:t>
      </w:r>
    </w:p>
    <w:p>
      <w:pPr>
        <w:spacing w:before="0" w:after="0"/>
      </w:pPr>
      <w:r>
        <w:rPr>
          <w:rFonts w:ascii="Times New Roman" w:hAnsi="Times New Roman" w:eastAsia="宋体"/>
          <w:b w:val="0"/>
          <w:sz w:val="12"/>
        </w:rPr>
      </w:r>
    </w:p>
    <w:p>
      <w:pPr>
        <w:spacing w:before="0" w:after="20"/>
      </w:pPr>
      <w:r>
        <w:rPr>
          <w:rFonts w:ascii="Times New Roman" w:hAnsi="Times New Roman" w:eastAsia="宋体"/>
          <w:b/>
          <w:color w:val="010328"/>
          <w:sz w:val="22"/>
        </w:rPr>
        <w:t>B02 ReLU激活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定义：负半轴归零——梯度不饱和训练快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使用场景：隐藏层的默认选择——现代网络标配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应用实例：Dense(64, activation='relu')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扩展与误区：误区：输出层也用ReLU——按任务选sigmoid/softmax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5. 原理：ReLU=max(0,x)：负半轴压平正半轴直通——引入非线性折叠，多层才能弯出复杂边界；sigmoid两头饱和梯度消失是它被换掉的原因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6. 判断依据：隐层激活默认ReLU（快且不饱和）；输出层按任务选：二分类sigmoid/多分类softmax/回归不激活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7. 逐行解释：x=np.array([-2,-1,0,1,2]); np.maximum(0,x) →[0,0,0,1,2] —— 一行看懂折叠；对比sigmoid在|x|&gt;3时梯度趋0（学不动）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8. 进阶优化：LeakyReLU(0.01)防'死神经元'；GELU是Transformer时代的宠儿——激活函数进化史一条线</w:t>
      </w:r>
    </w:p>
    <w:p>
      <w:pPr>
        <w:spacing w:before="0" w:after="0"/>
      </w:pPr>
      <w:r>
        <w:rPr>
          <w:rFonts w:ascii="Times New Roman" w:hAnsi="Times New Roman" w:eastAsia="宋体"/>
          <w:b w:val="0"/>
          <w:sz w:val="12"/>
        </w:rPr>
      </w:r>
    </w:p>
    <w:p>
      <w:pPr>
        <w:spacing w:before="0" w:after="20"/>
      </w:pPr>
      <w:r>
        <w:rPr>
          <w:rFonts w:ascii="Times New Roman" w:hAnsi="Times New Roman" w:eastAsia="宋体"/>
          <w:b/>
          <w:color w:val="010328"/>
          <w:sz w:val="22"/>
        </w:rPr>
        <w:t>B03 前向与反向传播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定义：前向算输出、反向调权重——网络的'想'与'学'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使用场景：只讲直觉不推公式——答辩能画图讲清即可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应用实例：fit()内部自动完成传播循环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扩展与误区：参数量决定显存与数据需求——画三层图讲一遍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5. 原理：前向=数据从输入流向输出算预测；反向传播=误差从输出反着流回每层算梯度（链式法则），梯度下降沿负梯度更新权重——训练的呼吸循环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6. 判断依据：看懂'一轮训练'=前向算loss→反向算梯度→optimizer.step()更新——三个动词循环epochs次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7. 逐行解释：loss=criterion(y_pred,y_true) 算差距；loss.backward() 反向填梯度；optimizer.step() 走一步——train loop三行诗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8. 进阶优化：学习率=步长：太大震荡不收敛、太小磨蹭——lr scheduler余弦退火自动调步长（进阶）</w:t>
      </w:r>
    </w:p>
    <w:p>
      <w:pPr>
        <w:spacing w:before="0" w:after="0"/>
      </w:pPr>
      <w:r>
        <w:rPr>
          <w:rFonts w:ascii="Times New Roman" w:hAnsi="Times New Roman" w:eastAsia="宋体"/>
          <w:b w:val="0"/>
          <w:sz w:val="12"/>
        </w:rPr>
      </w:r>
    </w:p>
    <w:p>
      <w:pPr>
        <w:spacing w:before="0" w:after="20"/>
      </w:pPr>
      <w:r>
        <w:rPr>
          <w:rFonts w:ascii="Times New Roman" w:hAnsi="Times New Roman" w:eastAsia="宋体"/>
          <w:b/>
          <w:color w:val="010328"/>
          <w:sz w:val="22"/>
        </w:rPr>
        <w:t>B04 过拟合三信号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定义：训练loss降、验证loss升、gap拉大——模型在背题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使用场景：MLP必看学习曲线——本课最重要的诊断图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应用实例：plot(h['loss'], h['val_loss']) 两线对比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扩展与误区：误区：只看训练准确率——它永远趋近100%没意义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5. 原理：过拟合三信号=训练loss还在降但验证loss回升/训练准确率远高于验证/两类曲线张口变大——模型开始'背题'而非'学规律'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6. 判断依据：每epoch记录双曲线（train/val）：张口即警报——画出来看，别凭感觉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7. 逐行解释：history=model.fit(...,validation_split=0.2) 返回双曲线数据；plot(history['loss'],history['val_loss']) —— 第8epoch后val回升=过拟合起点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8. 进阶优化：早停在拐点收手（callbacks.EarlyStopping(patience=5)）；过拟合≠坏事——说明模型容量够，接下来正则化驯服它</w:t>
      </w:r>
    </w:p>
    <w:p>
      <w:pPr>
        <w:spacing w:before="0" w:after="0"/>
      </w:pPr>
      <w:r>
        <w:rPr>
          <w:rFonts w:ascii="Times New Roman" w:hAnsi="Times New Roman" w:eastAsia="宋体"/>
          <w:b w:val="0"/>
          <w:sz w:val="12"/>
        </w:rPr>
      </w:r>
    </w:p>
    <w:p>
      <w:pPr>
        <w:spacing w:before="0" w:after="20"/>
      </w:pPr>
      <w:r>
        <w:rPr>
          <w:rFonts w:ascii="Times New Roman" w:hAnsi="Times New Roman" w:eastAsia="宋体"/>
          <w:b/>
          <w:color w:val="010328"/>
          <w:sz w:val="22"/>
        </w:rPr>
        <w:t>B05 两大药方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定义：Dropout随机失活与EarlyStopping及时止损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使用场景：过拟合确诊后的两个处方——先试这两个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应用实例：Dropout(0.5) + EarlyStopping(patience=10)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扩展与误区：误区：dropout乱设0.9——常用区间0.2-0.5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5. 原理：两大药方=Dropout(训练时随机失活神经元，逼网络不依赖个别'学霸')与L2正则(权重太大就罚)——治过拟合的左膀右臂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6. 判断依据：过拟合确诊后先上哪个：小数据Dropout(0.2-0.5)见效快；权重爆炸/L2；数据多就加数据增强——按病因开方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7. 逐行解释：Dense(64,activation='relu'),Dropout(0.3) 层后接失活；kernel_regularizer=l2(0.01) 权重罚金——两味药可同服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8. 进阶优化：数据增强（翻转/加噪）是第三味药且无副作用；EarlyStopping+Dropout+增强三联是CV标配</w:t>
      </w:r>
    </w:p>
    <w:p>
      <w:pPr>
        <w:spacing w:before="0" w:after="0"/>
      </w:pPr>
      <w:r>
        <w:rPr>
          <w:rFonts w:ascii="Times New Roman" w:hAnsi="Times New Roman" w:eastAsia="宋体"/>
          <w:b w:val="0"/>
          <w:sz w:val="12"/>
        </w:rPr>
      </w:r>
    </w:p>
    <w:p>
      <w:pPr>
        <w:spacing w:before="0" w:after="20"/>
      </w:pPr>
      <w:r>
        <w:rPr>
          <w:rFonts w:ascii="Times New Roman" w:hAnsi="Times New Roman" w:eastAsia="宋体"/>
          <w:b/>
          <w:color w:val="010328"/>
          <w:sz w:val="22"/>
        </w:rPr>
        <w:t>B06 损失曲线听诊器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定义：先看曲线再动手改结构——训练前先诊断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使用场景：loss不降/NaN/爆炸各有病因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应用实例：曲线不降查学习率：NaN降lr、平线升lr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扩展与误区：曲线是模型体检报告——读它胜过背超参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5. 原理：损失曲线听诊器=训练全程的loss/acc曲线图：看斜率(学得快慢)、看张口(过拟合)、看平台(学不动)——曲线会说话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6. 判断依据：训练完先画曲线再报指标：曲线形态比最终数字信息量大——'怎么学到的'过程可审计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7. 逐行解释：plt.plot(h.history['loss'],label='train'); plt.plot(h.history['val_loss'],label='val') 双线一张图——四个典型形态(健康/过拟合/欠拟合/lr不当)对照讲评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8. 进阶优化：batch_size影响曲线毛刺（大batch平滑但泛化略差）；曲线存档随实验台账——每个模型一张'心电图'</w:t>
      </w:r>
    </w:p>
    <w:p>
      <w:pPr>
        <w:spacing w:before="0" w:after="0"/>
      </w:pPr>
      <w:r>
        <w:rPr>
          <w:rFonts w:ascii="Times New Roman" w:hAnsi="Times New Roman" w:eastAsia="宋体"/>
          <w:b w:val="0"/>
          <w:sz w:val="12"/>
        </w:rPr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10328"/>
          <w:sz w:val="24"/>
        </w:rPr>
        <w:t>一、本课基础知识（课前资讯对应）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神经元=加权求和+激活；MLP=多层堆叠学非线性边界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激活函数ReLU：负半轴归零，梯度不饱和——应用：见工单starter与教师参考实现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前向传播算输出、反向传播调权重（只讲直觉不推公式）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过拟合三信号：训练损失降验证损失升、gap持续拉大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5. 两大药方：Dropout随机失活与EarlyStopping及时止损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6. 损失曲线是听诊器：先看曲线再动手改结构——应用：见工单starter与教师参考实现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10328"/>
          <w:sz w:val="24"/>
        </w:rPr>
        <w:t>二、本课技能点（做完你应该会）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能搭建并训练MLP分类器——应用：见工单starter与教师参考实现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能读懂训练验证损失曲线——应用：见工单starter与教师参考实现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能用Dropout与早停治过拟合——应用：见工单starter与教师参考实现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能写结构决策记录——应用：见工单starter与教师参考实现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C04A0A"/>
          <w:sz w:val="24"/>
        </w:rPr>
        <w:t>三、分层任务卡（按你的ABCD层执行；每4周动态升降）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44546A"/>
          <w:sz w:val="24"/>
        </w:rPr>
        <w:t>【D层·学徒(跟做保底)】目标：跑通模板MLP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步骤1: 两层全连接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步骤2: fit看accuracy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步骤3: 打印最终值</w:t>
      </w:r>
    </w:p>
    <w:p>
      <w:pPr>
        <w:spacing w:before="0" w:after="120"/>
      </w:pPr>
      <w:r>
        <w:rPr>
          <w:rFonts w:ascii="Times New Roman" w:hAnsi="Times New Roman" w:eastAsia="宋体"/>
          <w:b/>
          <w:color w:val="44546A"/>
          <w:sz w:val="20"/>
        </w:rPr>
        <w:t xml:space="preserve">    ✔ 达标标准: 模板可运行出指标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475B6"/>
          <w:sz w:val="24"/>
        </w:rPr>
        <w:t>【C层·操作员(基础完成)】目标：曲线诊断报告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步骤1: History取loss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步骤2: 双曲线画图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步骤3: 标注过拟合点</w:t>
      </w:r>
    </w:p>
    <w:p>
      <w:pPr>
        <w:spacing w:before="0" w:after="120"/>
      </w:pPr>
      <w:r>
        <w:rPr>
          <w:rFonts w:ascii="Times New Roman" w:hAnsi="Times New Roman" w:eastAsia="宋体"/>
          <w:b/>
          <w:color w:val="0475B6"/>
          <w:sz w:val="20"/>
        </w:rPr>
        <w:t xml:space="preserve">    ✔ 达标标准: 准确率≥75%图完整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545E8"/>
          <w:sz w:val="24"/>
        </w:rPr>
        <w:t>【B层·组长(标准达成)】目标：药方有效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步骤1: 加Dropout0.3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步骤2: EarlyStopping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步骤3: 前后对比曲线</w:t>
      </w:r>
    </w:p>
    <w:p>
      <w:pPr>
        <w:spacing w:before="0" w:after="120"/>
      </w:pPr>
      <w:r>
        <w:rPr>
          <w:rFonts w:ascii="Times New Roman" w:hAnsi="Times New Roman" w:eastAsia="宋体"/>
          <w:b/>
          <w:color w:val="0545E8"/>
          <w:sz w:val="20"/>
        </w:rPr>
        <w:t xml:space="preserve">    ✔ 达标标准: gap收窄且指标不降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C04A0A"/>
          <w:sz w:val="24"/>
        </w:rPr>
        <w:t>【A层·师傅(进阶拓展)】目标：小结构搜索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步骤1: 宽度16/32/64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步骤2: 深度1/2/3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步骤3: 表加结论</w:t>
      </w:r>
    </w:p>
    <w:p>
      <w:pPr>
        <w:spacing w:before="0" w:after="120"/>
      </w:pPr>
      <w:r>
        <w:rPr>
          <w:rFonts w:ascii="Times New Roman" w:hAnsi="Times New Roman" w:eastAsia="宋体"/>
          <w:b/>
          <w:color w:val="C04A0A"/>
          <w:sz w:val="20"/>
        </w:rPr>
        <w:t xml:space="preserve">    ✔ 达标标准: 找到性价比最优结构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10328"/>
          <w:sz w:val="24"/>
        </w:rPr>
        <w:t>四、关键代码参考</w:t>
      </w:r>
    </w:p>
    <w:p>
      <w:pPr>
        <w:spacing w:before="0" w:after="20"/>
      </w:pPr>
      <w:r>
        <w:rPr>
          <w:rFonts w:ascii="Times New Roman" w:hAnsi="Times New Roman" w:eastAsia="宋体"/>
          <w:b/>
          <w:color w:val="0545E8"/>
          <w:sz w:val="19"/>
        </w:rPr>
        <w:t>▍MLP骨架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>from sklearn.neural_network import MLPClassifier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>mlp = MLPClassifier(hidden_layer_sizes=(64, 32), early_stopping=True).fit(X_tr, y_tr)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>print("test acc:", mlp.score(X_te, y_te))</w:t>
      </w:r>
    </w:p>
    <w:p>
      <w:pPr>
        <w:spacing w:before="0" w:after="20"/>
      </w:pPr>
      <w:r>
        <w:rPr>
          <w:rFonts w:ascii="Times New Roman" w:hAnsi="Times New Roman" w:eastAsia="宋体"/>
          <w:b/>
          <w:color w:val="0545E8"/>
          <w:sz w:val="19"/>
        </w:rPr>
        <w:t>▍损失曲线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>h = model.fit(X_tr, y_tr, validation_split=.2, epochs=100,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 xml:space="preserve">          callbacks=[EarlyStopping(patience=5)])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>plt.plot(h.history["loss"], label="train"); plt.plot(h.history["val_loss"], label="val"); plt.legend()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10328"/>
          <w:sz w:val="24"/>
        </w:rPr>
        <w:t>五、常见错误速查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c>
          <w:tcPr>
            <w:tcW w:type="dxa" w:w="3362"/>
          </w:tcPr>
          <w:p>
            <w:r>
              <w:rPr>
                <w:b/>
                <w:sz w:val="18"/>
              </w:rPr>
              <w:t>现象</w:t>
            </w:r>
          </w:p>
        </w:tc>
        <w:tc>
          <w:tcPr>
            <w:tcW w:type="dxa" w:w="3362"/>
          </w:tcPr>
          <w:p>
            <w:r>
              <w:rPr>
                <w:b/>
                <w:sz w:val="18"/>
              </w:rPr>
              <w:t>原因</w:t>
            </w:r>
          </w:p>
        </w:tc>
        <w:tc>
          <w:tcPr>
            <w:tcW w:type="dxa" w:w="3362"/>
          </w:tcPr>
          <w:p>
            <w:r>
              <w:rPr>
                <w:b/>
                <w:sz w:val="18"/>
              </w:rPr>
              <w:t>解决</w:t>
            </w:r>
          </w:p>
        </w:tc>
      </w:tr>
      <w:tr>
        <w:tc>
          <w:tcPr>
            <w:tcW w:type="dxa" w:w="3362"/>
          </w:tcPr>
          <w:p>
            <w:r>
              <w:rPr>
                <w:sz w:val="18"/>
              </w:rPr>
              <w:t>loss为nan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学习率过大或未标准化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StandardScaler加lr调小</w:t>
            </w:r>
          </w:p>
        </w:tc>
      </w:tr>
      <w:tr>
        <w:tc>
          <w:tcPr>
            <w:tcW w:type="dxa" w:w="3362"/>
          </w:tcPr>
          <w:p>
            <w:r>
              <w:rPr>
                <w:sz w:val="18"/>
              </w:rPr>
              <w:t>训练不动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特征量纲悬殊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先标准化再进网络</w:t>
            </w:r>
          </w:p>
        </w:tc>
      </w:tr>
      <w:tr>
        <w:tc>
          <w:tcPr>
            <w:tcW w:type="dxa" w:w="3362"/>
          </w:tcPr>
          <w:p>
            <w:r>
              <w:rPr>
                <w:sz w:val="18"/>
              </w:rPr>
              <w:t>早停太早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patience过小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patience取5到10</w:t>
            </w:r>
          </w:p>
        </w:tc>
      </w:tr>
    </w:tbl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10328"/>
          <w:sz w:val="24"/>
        </w:rPr>
        <w:t>六、提交物与评分</w:t>
      </w:r>
    </w:p>
    <w:p>
      <w:pPr>
        <w:spacing w:before="0" w:after="80"/>
      </w:pPr>
      <w:r>
        <w:rPr>
          <w:rFonts w:ascii="Times New Roman" w:hAnsi="Times New Roman" w:eastAsia="宋体"/>
          <w:b w:val="0"/>
          <w:sz w:val="20"/>
        </w:rPr>
        <w:t>提交物: 程序/笔记本(含运行输出) + 本工单(勾选层与达标自评) + 过程记录</w:t>
      </w:r>
    </w:p>
    <w:p>
      <w:pPr>
        <w:spacing w:before="0" w:after="80"/>
      </w:pPr>
      <w:r>
        <w:rPr>
          <w:rFonts w:ascii="Times New Roman" w:hAnsi="Times New Roman" w:eastAsia="宋体"/>
          <w:b w:val="0"/>
          <w:sz w:val="20"/>
        </w:rPr>
        <w:t>评分: 功能40% + 技术质量25% + 代码规范20% + 工程素养15%（D≥60 / C≥70 / B≥80 / A≥90，详见《工单评价通用量表》）</w:t>
      </w:r>
    </w:p>
    <w:p>
      <w:pPr>
        <w:spacing w:before="0" w:after="80"/>
      </w:pPr>
      <w:r>
        <w:rPr>
          <w:rFonts w:ascii="Times New Roman" w:hAnsi="Times New Roman" w:eastAsia="宋体"/>
          <w:b w:val="0"/>
          <w:color w:val="44546A"/>
          <w:sz w:val="20"/>
        </w:rPr>
        <w:t>自评: 我完成了____层任务，最得意的一步是____________，卡壳最久的是____________。</w:t>
      </w:r>
    </w:p>
    <w:p>
      <w:pPr>
        <w:spacing w:before="120" w:after="80"/>
      </w:pPr>
      <w:r>
        <w:rPr>
          <w:rFonts w:ascii="Times New Roman" w:hAnsi="Times New Roman" w:eastAsia="宋体"/>
          <w:b w:val="0"/>
          <w:sz w:val="20"/>
        </w:rPr>
        <w:t>学号______ 姓名______ 组号____ 组长签字________</w:t>
      </w:r>
    </w:p>
    <w:sectPr w:rsidR="00FC693F" w:rsidRPr="0006063C" w:rsidSect="00034616">
      <w:pgSz w:w="12240" w:h="15840"/>
      <w:pgMar w:top="1020" w:right="1077" w:bottom="1020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