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  <w:jc w:val="left"/>
      </w:pPr>
      <w:r>
        <w:rPr>
          <w:rFonts w:ascii="Times New Roman" w:hAnsi="Times New Roman" w:eastAsia="黑体"/>
          <w:b w:val="0"/>
          <w:color w:val="44546A"/>
          <w:sz w:val="18"/>
        </w:rPr>
        <w:t>AI应用基础（48课时版） · 分层实训工单</w:t>
      </w:r>
    </w:p>
    <w:p>
      <w:pPr>
        <w:spacing w:before="0" w:after="20"/>
        <w:jc w:val="center"/>
      </w:pPr>
      <w:r>
        <w:rPr>
          <w:rFonts w:ascii="Times New Roman" w:hAnsi="Times New Roman" w:eastAsia="黑体"/>
          <w:b/>
          <w:color w:val="010328"/>
          <w:sz w:val="32"/>
        </w:rPr>
        <w:t>工单M3-2《YOLO实时缺陷检测》</w:t>
      </w:r>
    </w:p>
    <w:p>
      <w:pPr>
        <w:spacing w:before="0" w:after="80"/>
        <w:jc w:val="center"/>
      </w:pPr>
      <w:r>
        <w:rPr>
          <w:rFonts w:ascii="Times New Roman" w:hAnsi="Times New Roman" w:eastAsia="宋体"/>
          <w:b w:val="0"/>
          <w:color w:val="44546A"/>
          <w:sz w:val="19"/>
        </w:rPr>
        <w:t>第15周 · 2课时（80分钟） · 理实一体 · 难度见右栏</w:t>
      </w:r>
    </w:p>
    <w:p>
      <w:pPr>
        <w:spacing w:before="0" w:after="20"/>
        <w:jc w:val="center"/>
        <w:shd w:val="clear" w:fill="010328"/>
      </w:pPr>
      <w:r>
        <w:rPr>
          <w:rFonts w:ascii="Times New Roman" w:hAnsi="Times New Roman" w:eastAsia="黑体"/>
          <w:b/>
          <w:color w:val="FFFFFF"/>
          <w:sz w:val="20"/>
        </w:rPr>
        <w:t>◆ 项目载体：重庆两江智造集团 · 设备智能运维中心</w:t>
      </w:r>
    </w:p>
    <w:p>
      <w:pPr>
        <w:spacing w:before="0" w:after="80"/>
        <w:jc w:val="left"/>
      </w:pPr>
      <w:r>
        <w:rPr>
          <w:rFonts w:ascii="Times New Roman" w:hAnsi="Times New Roman" w:eastAsia="楷体"/>
          <w:b w:val="0"/>
          <w:color w:val="44546A"/>
          <w:sz w:val="18"/>
        </w:rPr>
        <w:t>▍任务情境：产线节拍又升了。老周批了CPU算力：'实时检测，速度与精度你自己权衡。'工单M3-2：YOLO缺陷检测，阈值、输入尺寸与FPS的三方博弈。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21"/>
        <w:gridCol w:w="2521"/>
        <w:gridCol w:w="2521"/>
        <w:gridCol w:w="2521"/>
      </w:tblGrid>
      <w:tr>
        <w:tc>
          <w:tcPr>
            <w:tcW w:type="dxa" w:w="2521"/>
          </w:tcPr>
          <w:p>
            <w:r/>
            <w:r>
              <w:rPr>
                <w:b/>
                <w:sz w:val="18"/>
              </w:rPr>
              <w:t xml:space="preserve">工单号: </w:t>
            </w:r>
            <w:r>
              <w:rPr>
                <w:sz w:val="18"/>
              </w:rPr>
              <w:t>M3-2</w:t>
            </w:r>
          </w:p>
        </w:tc>
        <w:tc>
          <w:tcPr>
            <w:tcW w:type="dxa" w:w="2521"/>
          </w:tcPr>
          <w:p>
            <w:r/>
            <w:r>
              <w:rPr>
                <w:b/>
                <w:sz w:val="18"/>
              </w:rPr>
              <w:t xml:space="preserve">周次/课时: </w:t>
            </w:r>
            <w:r>
              <w:rPr>
                <w:sz w:val="18"/>
              </w:rPr>
              <w:t>第15周/2课时</w:t>
            </w:r>
          </w:p>
        </w:tc>
        <w:tc>
          <w:tcPr>
            <w:tcW w:type="dxa" w:w="2521"/>
          </w:tcPr>
          <w:p>
            <w:r/>
            <w:r>
              <w:rPr>
                <w:b/>
                <w:sz w:val="18"/>
              </w:rPr>
              <w:t xml:space="preserve">地点: </w:t>
            </w:r>
            <w:r>
              <w:rPr>
                <w:sz w:val="18"/>
              </w:rPr>
              <w:t>双创中心302实训室</w:t>
            </w:r>
          </w:p>
        </w:tc>
        <w:tc>
          <w:tcPr>
            <w:tcW w:type="dxa" w:w="2521"/>
          </w:tcPr>
          <w:p>
            <w:r/>
            <w:r>
              <w:rPr>
                <w:b/>
                <w:sz w:val="18"/>
              </w:rPr>
              <w:t xml:space="preserve">角色层: </w:t>
            </w:r>
            <w:r>
              <w:rPr>
                <w:sz w:val="18"/>
              </w:rPr>
              <w:t>□A □B □C □D</w:t>
            </w:r>
          </w:p>
        </w:tc>
      </w:tr>
      <w:tr>
        <w:tc>
          <w:tcPr>
            <w:tcW w:type="dxa" w:w="2521"/>
          </w:tcPr>
          <w:p>
            <w:r/>
            <w:r>
              <w:rPr>
                <w:b/>
                <w:sz w:val="18"/>
              </w:rPr>
              <w:t xml:space="preserve">配套+工具: </w:t>
            </w:r>
            <w:r>
              <w:rPr>
                <w:sz w:val="18"/>
              </w:rPr>
              <w:t>starter+Jupyter｜主用：Jupyter（全程实训）+ PyCharm CE（starter编码）+ Git/GitHub（每周提交）</w:t>
            </w:r>
          </w:p>
        </w:tc>
        <w:tc>
          <w:tcPr>
            <w:tcW w:type="dxa" w:w="2521"/>
          </w:tcPr>
          <w:p>
            <w:r/>
            <w:r>
              <w:rPr>
                <w:b/>
                <w:sz w:val="18"/>
              </w:rPr>
              <w:t xml:space="preserve">提交命名: </w:t>
            </w:r>
            <w:r>
              <w:rPr>
                <w:sz w:val="18"/>
              </w:rPr>
              <w:t>学号_姓名_M3-2</w:t>
            </w:r>
          </w:p>
        </w:tc>
        <w:tc>
          <w:tcPr>
            <w:tcW w:type="dxa" w:w="2521"/>
          </w:tcPr>
          <w:p>
            <w:r/>
            <w:r>
              <w:rPr>
                <w:b/>
                <w:sz w:val="18"/>
              </w:rPr>
              <w:t xml:space="preserve">评价: </w:t>
            </w:r>
            <w:r>
              <w:rPr>
                <w:sz w:val="18"/>
              </w:rPr>
              <w:t>D/C/B/A四级量表</w:t>
            </w:r>
          </w:p>
        </w:tc>
        <w:tc>
          <w:tcPr>
            <w:tcW w:type="dxa" w:w="2521"/>
          </w:tcPr>
          <w:p>
            <w:r/>
            <w:r>
              <w:rPr>
                <w:b/>
                <w:sz w:val="18"/>
              </w:rPr>
              <w:t xml:space="preserve">反馈: </w:t>
            </w:r>
            <w:r>
              <w:rPr>
                <w:sz w:val="18"/>
              </w:rPr>
              <w:t>24小时内</w:t>
            </w:r>
          </w:p>
        </w:tc>
      </w:tr>
    </w:tbl>
    <w:p>
      <w:pPr>
        <w:spacing w:before="200" w:after="80"/>
        <w:pBdr>
          <w:bottom w:val="single" w:sz="8" w:color="0545E8"/>
        </w:pBdr>
      </w:pPr>
      <w:r>
        <w:rPr>
          <w:rFonts w:ascii="Times New Roman" w:hAnsi="Times New Roman" w:eastAsia="黑体"/>
          <w:b/>
          <w:color w:val="C04A0A"/>
          <w:sz w:val="24"/>
        </w:rPr>
        <w:t>〇.五、知识窗（1+X考点对照·业界12讲补全）</w:t>
      </w:r>
    </w:p>
    <w:p>
      <w:pPr>
        <w:spacing w:before="0" w:after="20"/>
      </w:pPr>
      <w:r>
        <w:rPr>
          <w:rFonts w:ascii="Times New Roman" w:hAnsi="Times New Roman" w:eastAsia="宋体"/>
          <w:b/>
          <w:color w:val="010328"/>
          <w:sz w:val="22"/>
        </w:rPr>
        <w:t>W-MN MNIST基准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1. 是什么：MNIST手写数字基准：深度学习的'Hello World'——6万张28×28灰度图分0-9，业界用它验证一切新架构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2. 何时用：入门练习/论文对照基线用；工业课用振动频谱替代（同是分类任务，数据换成车间真数据）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3. 最小示例：(x_train,y_train),(x_test,y_test)=keras.datasets.mnist.load_data() 一行下载数据——网络结构与本课MLP完全同构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4. 进阶方向：MNIST上准确率&gt;98%说明网络健康，工业数据不到90%是数据难不是你菜——基准思维：先易后难定位问题</w:t>
      </w:r>
    </w:p>
    <w:p>
      <w:pPr>
        <w:spacing w:before="200" w:after="80"/>
        <w:pBdr>
          <w:bottom w:val="single" w:sz="8" w:color="0545E8"/>
        </w:pBdr>
      </w:pPr>
      <w:r>
        <w:rPr>
          <w:rFonts w:ascii="Times New Roman" w:hAnsi="Times New Roman" w:eastAsia="黑体"/>
          <w:b/>
          <w:color w:val="C04A0A"/>
          <w:sz w:val="24"/>
        </w:rPr>
        <w:t>〇、知识精讲·四要素详解（V1.2深度版·与授课PPT同源）</w:t>
      </w:r>
    </w:p>
    <w:p>
      <w:pPr>
        <w:spacing w:before="0" w:after="20"/>
      </w:pPr>
      <w:r>
        <w:rPr>
          <w:rFonts w:ascii="Times New Roman" w:hAnsi="Times New Roman" w:eastAsia="宋体"/>
          <w:b/>
          <w:color w:val="010328"/>
          <w:sz w:val="22"/>
        </w:rPr>
        <w:t>B01 检测=分类+定位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1. 定义：不只说'有缺陷'还要框出'在哪'——一次前向出全部框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2. 使用场景：质检要定位缺陷位置指导返修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3. 应用实例：yolo.predict(img) 返回boxes+scores+classes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4. 扩展与误区：分类只能答有/无——要位置就得检测</w:t>
      </w:r>
    </w:p>
    <w:p>
      <w:pPr>
        <w:spacing w:before="0" w:after="0"/>
      </w:pPr>
      <w:r>
        <w:rPr>
          <w:rFonts w:ascii="Times New Roman" w:hAnsi="Times New Roman" w:eastAsia="宋体"/>
          <w:b w:val="0"/>
          <w:sz w:val="12"/>
        </w:rPr>
      </w:r>
    </w:p>
    <w:p>
      <w:pPr>
        <w:spacing w:before="0" w:after="20"/>
      </w:pPr>
      <w:r>
        <w:rPr>
          <w:rFonts w:ascii="Times New Roman" w:hAnsi="Times New Roman" w:eastAsia="宋体"/>
          <w:b/>
          <w:color w:val="010328"/>
          <w:sz w:val="22"/>
        </w:rPr>
        <w:t>B02 置信度阈值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1. 定义：低阈值召回高误检多、高阈值反之——业务定夺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2. 使用场景：漏检代价高的场景阈值调低宁可多报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3. 应用实例：conf=0.25 起步，按混淆矩阵调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4. 扩展与误区：阈值不是拍的——用PR曲线按业务代价选</w:t>
      </w:r>
    </w:p>
    <w:p>
      <w:pPr>
        <w:spacing w:before="0" w:after="0"/>
      </w:pPr>
      <w:r>
        <w:rPr>
          <w:rFonts w:ascii="Times New Roman" w:hAnsi="Times New Roman" w:eastAsia="宋体"/>
          <w:b w:val="0"/>
          <w:sz w:val="12"/>
        </w:rPr>
      </w:r>
    </w:p>
    <w:p>
      <w:pPr>
        <w:spacing w:before="0" w:after="20"/>
      </w:pPr>
      <w:r>
        <w:rPr>
          <w:rFonts w:ascii="Times New Roman" w:hAnsi="Times New Roman" w:eastAsia="宋体"/>
          <w:b/>
          <w:color w:val="010328"/>
          <w:sz w:val="22"/>
        </w:rPr>
        <w:t>B03 输入尺寸权衡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1. 定义：640到320速度翻倍精度让步——像素即算力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2. 使用场景：边缘盒子算力有限时的第一调节旋钮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3. 应用实例：imgsz=320 推理时间约减半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4. 扩展与误区：小目标缩图会看不见——先看缺陷最小尺寸</w:t>
      </w:r>
    </w:p>
    <w:p>
      <w:pPr>
        <w:spacing w:before="0" w:after="0"/>
      </w:pPr>
      <w:r>
        <w:rPr>
          <w:rFonts w:ascii="Times New Roman" w:hAnsi="Times New Roman" w:eastAsia="宋体"/>
          <w:b w:val="0"/>
          <w:sz w:val="12"/>
        </w:rPr>
      </w:r>
    </w:p>
    <w:p>
      <w:pPr>
        <w:spacing w:before="0" w:after="20"/>
      </w:pPr>
      <w:r>
        <w:rPr>
          <w:rFonts w:ascii="Times New Roman" w:hAnsi="Times New Roman" w:eastAsia="宋体"/>
          <w:b/>
          <w:color w:val="010328"/>
          <w:sz w:val="22"/>
        </w:rPr>
        <w:t>B04 FPS测量口径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1. 定义：纯推理vs含前后处理——口径不同数字差几倍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2. 使用场景：两台设备比速度先统一口径再比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3. 应用实例：计时含预处理+推理+后处理全链路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4. 扩展与误区：只报纯推理FPS是耍流氓——节拍看全链路</w:t>
      </w:r>
    </w:p>
    <w:p>
      <w:pPr>
        <w:spacing w:before="0" w:after="0"/>
      </w:pPr>
      <w:r>
        <w:rPr>
          <w:rFonts w:ascii="Times New Roman" w:hAnsi="Times New Roman" w:eastAsia="宋体"/>
          <w:b w:val="0"/>
          <w:sz w:val="12"/>
        </w:rPr>
      </w:r>
    </w:p>
    <w:p>
      <w:pPr>
        <w:spacing w:before="0" w:after="20"/>
      </w:pPr>
      <w:r>
        <w:rPr>
          <w:rFonts w:ascii="Times New Roman" w:hAnsi="Times New Roman" w:eastAsia="宋体"/>
          <w:b/>
          <w:color w:val="010328"/>
          <w:sz w:val="22"/>
        </w:rPr>
        <w:t>B05 mAP指标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1. 定义：多阈值下平均精度——统一测试集才有意义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2. 使用场景：检测任务综合得分——框的准不准看它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3. 应用实例：results.val() 出 mAP@0.5 与 mAP@0.5:0.95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4. 扩展与误区：mAP没统一数据集不能比——别人的榜不是你的卷</w:t>
      </w:r>
    </w:p>
    <w:p>
      <w:pPr>
        <w:spacing w:before="0" w:after="0"/>
      </w:pPr>
      <w:r>
        <w:rPr>
          <w:rFonts w:ascii="Times New Roman" w:hAnsi="Times New Roman" w:eastAsia="宋体"/>
          <w:b w:val="0"/>
          <w:sz w:val="12"/>
        </w:rPr>
      </w:r>
    </w:p>
    <w:p>
      <w:pPr>
        <w:spacing w:before="0" w:after="20"/>
      </w:pPr>
      <w:r>
        <w:rPr>
          <w:rFonts w:ascii="Times New Roman" w:hAnsi="Times New Roman" w:eastAsia="宋体"/>
          <w:b/>
          <w:color w:val="010328"/>
          <w:sz w:val="22"/>
        </w:rPr>
        <w:t>B06 工程权衡三问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1. 定义：漏一个的代价？误一个的代价？节拍多少？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2. 使用场景：缺陷检测上线评审的标准三问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3. 应用实例：三问答案写进部署方案——阈值与模型随之定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4. 扩展与误区：三问答不出就别上线——指标好看不等于敢用</w:t>
      </w:r>
    </w:p>
    <w:p>
      <w:pPr>
        <w:spacing w:before="0" w:after="0"/>
      </w:pPr>
      <w:r>
        <w:rPr>
          <w:rFonts w:ascii="Times New Roman" w:hAnsi="Times New Roman" w:eastAsia="宋体"/>
          <w:b w:val="0"/>
          <w:sz w:val="12"/>
        </w:rPr>
      </w:r>
    </w:p>
    <w:p>
      <w:pPr>
        <w:spacing w:before="200" w:after="80"/>
        <w:pBdr>
          <w:bottom w:val="single" w:sz="8" w:color="0545E8"/>
        </w:pBdr>
      </w:pPr>
      <w:r>
        <w:rPr>
          <w:rFonts w:ascii="Times New Roman" w:hAnsi="Times New Roman" w:eastAsia="黑体"/>
          <w:b/>
          <w:color w:val="010328"/>
          <w:sz w:val="24"/>
        </w:rPr>
        <w:t>一、本课基础知识（课前资讯对应）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1. 检测=分类+定位：YOLO一次前向出全部候选框——应用：见工单starter与教师参考实现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2. 置信度阈值：低阈值召回高但误检多，业务定夺——应用：见工单starter与教师参考实现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3. 输入尺寸：640到320，速度翻倍精度让步——应用：见工单starter与教师参考实现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4. FPS测量口径：纯推理vs含前后处理，先约定再比较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5. mAP：多阈值下平均精度，统一测试集才有意义——应用：见工单starter与教师参考实现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6. 工程权衡三问：漏一个的代价？误一个的代价？节拍多少？</w:t>
      </w:r>
    </w:p>
    <w:p>
      <w:pPr>
        <w:spacing w:before="200" w:after="80"/>
        <w:pBdr>
          <w:bottom w:val="single" w:sz="8" w:color="0545E8"/>
        </w:pBdr>
      </w:pPr>
      <w:r>
        <w:rPr>
          <w:rFonts w:ascii="Times New Roman" w:hAnsi="Times New Roman" w:eastAsia="黑体"/>
          <w:b/>
          <w:color w:val="010328"/>
          <w:sz w:val="24"/>
        </w:rPr>
        <w:t>二、本课技能点（做完你应该会）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1. 能部署CPU预训练YOLO推理——应用：见工单starter与教师参考实现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2. 能调阈值与尺寸并记录mAP和FPS——应用：见工单starter与教师参考实现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3. 能产出三方权衡报告——应用：见工单starter与教师参考实现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4. 能做产线节拍适配建议——应用：见工单starter与教师参考实现</w:t>
      </w:r>
    </w:p>
    <w:p>
      <w:pPr>
        <w:spacing w:before="200" w:after="80"/>
        <w:pBdr>
          <w:bottom w:val="single" w:sz="8" w:color="0545E8"/>
        </w:pBdr>
      </w:pPr>
      <w:r>
        <w:rPr>
          <w:rFonts w:ascii="Times New Roman" w:hAnsi="Times New Roman" w:eastAsia="黑体"/>
          <w:b/>
          <w:color w:val="C04A0A"/>
          <w:sz w:val="24"/>
        </w:rPr>
        <w:t>三、分层任务卡（按你的ABCD层执行；每4周动态升降）</w:t>
      </w:r>
    </w:p>
    <w:p>
      <w:pPr>
        <w:spacing w:before="200" w:after="80"/>
        <w:pBdr>
          <w:bottom w:val="single" w:sz="8" w:color="0545E8"/>
        </w:pBdr>
      </w:pPr>
      <w:r>
        <w:rPr>
          <w:rFonts w:ascii="Times New Roman" w:hAnsi="Times New Roman" w:eastAsia="黑体"/>
          <w:b/>
          <w:color w:val="44546A"/>
          <w:sz w:val="24"/>
        </w:rPr>
        <w:t>【D层·学徒(跟做保底)】目标：默认参数推理</w:t>
      </w:r>
    </w:p>
    <w:p>
      <w:pPr>
        <w:spacing w:before="0" w:after="20"/>
      </w:pPr>
      <w:r>
        <w:rPr>
          <w:rFonts w:ascii="Times New Roman" w:hAnsi="Times New Roman" w:eastAsia="宋体"/>
          <w:b w:val="0"/>
          <w:sz w:val="21"/>
        </w:rPr>
        <w:t xml:space="preserve">    步骤1: 加载预训练</w:t>
      </w:r>
    </w:p>
    <w:p>
      <w:pPr>
        <w:spacing w:before="0" w:after="20"/>
      </w:pPr>
      <w:r>
        <w:rPr>
          <w:rFonts w:ascii="Times New Roman" w:hAnsi="Times New Roman" w:eastAsia="宋体"/>
          <w:b w:val="0"/>
          <w:sz w:val="21"/>
        </w:rPr>
        <w:t xml:space="preserve">    步骤2: 跑测试集</w:t>
      </w:r>
    </w:p>
    <w:p>
      <w:pPr>
        <w:spacing w:before="0" w:after="20"/>
      </w:pPr>
      <w:r>
        <w:rPr>
          <w:rFonts w:ascii="Times New Roman" w:hAnsi="Times New Roman" w:eastAsia="宋体"/>
          <w:b w:val="0"/>
          <w:sz w:val="21"/>
        </w:rPr>
        <w:t xml:space="preserve">    步骤3: 记录mAP</w:t>
      </w:r>
    </w:p>
    <w:p>
      <w:pPr>
        <w:spacing w:before="0" w:after="120"/>
      </w:pPr>
      <w:r>
        <w:rPr>
          <w:rFonts w:ascii="Times New Roman" w:hAnsi="Times New Roman" w:eastAsia="宋体"/>
          <w:b/>
          <w:color w:val="44546A"/>
          <w:sz w:val="20"/>
        </w:rPr>
        <w:t xml:space="preserve">    ✔ 达标标准: 基线mAP有数</w:t>
      </w:r>
    </w:p>
    <w:p>
      <w:pPr>
        <w:spacing w:before="200" w:after="80"/>
        <w:pBdr>
          <w:bottom w:val="single" w:sz="8" w:color="0545E8"/>
        </w:pBdr>
      </w:pPr>
      <w:r>
        <w:rPr>
          <w:rFonts w:ascii="Times New Roman" w:hAnsi="Times New Roman" w:eastAsia="黑体"/>
          <w:b/>
          <w:color w:val="0475B6"/>
          <w:sz w:val="24"/>
        </w:rPr>
        <w:t>【C层·操作员(基础完成)】目标：双维扫描</w:t>
      </w:r>
    </w:p>
    <w:p>
      <w:pPr>
        <w:spacing w:before="0" w:after="20"/>
      </w:pPr>
      <w:r>
        <w:rPr>
          <w:rFonts w:ascii="Times New Roman" w:hAnsi="Times New Roman" w:eastAsia="宋体"/>
          <w:b w:val="0"/>
          <w:sz w:val="21"/>
        </w:rPr>
        <w:t xml:space="preserve">    步骤1: 阈值3档</w:t>
      </w:r>
    </w:p>
    <w:p>
      <w:pPr>
        <w:spacing w:before="0" w:after="20"/>
      </w:pPr>
      <w:r>
        <w:rPr>
          <w:rFonts w:ascii="Times New Roman" w:hAnsi="Times New Roman" w:eastAsia="宋体"/>
          <w:b w:val="0"/>
          <w:sz w:val="21"/>
        </w:rPr>
        <w:t xml:space="preserve">    步骤2: 尺寸2档</w:t>
      </w:r>
    </w:p>
    <w:p>
      <w:pPr>
        <w:spacing w:before="0" w:after="20"/>
      </w:pPr>
      <w:r>
        <w:rPr>
          <w:rFonts w:ascii="Times New Roman" w:hAnsi="Times New Roman" w:eastAsia="宋体"/>
          <w:b w:val="0"/>
          <w:sz w:val="21"/>
        </w:rPr>
        <w:t xml:space="preserve">    步骤3: 表化mAP和FPS</w:t>
      </w:r>
    </w:p>
    <w:p>
      <w:pPr>
        <w:spacing w:before="0" w:after="120"/>
      </w:pPr>
      <w:r>
        <w:rPr>
          <w:rFonts w:ascii="Times New Roman" w:hAnsi="Times New Roman" w:eastAsia="宋体"/>
          <w:b/>
          <w:color w:val="0475B6"/>
          <w:sz w:val="20"/>
        </w:rPr>
        <w:t xml:space="preserve">    ✔ 达标标准: mAP≥0.60表完整</w:t>
      </w:r>
    </w:p>
    <w:p>
      <w:pPr>
        <w:spacing w:before="200" w:after="80"/>
        <w:pBdr>
          <w:bottom w:val="single" w:sz="8" w:color="0545E8"/>
        </w:pBdr>
      </w:pPr>
      <w:r>
        <w:rPr>
          <w:rFonts w:ascii="Times New Roman" w:hAnsi="Times New Roman" w:eastAsia="黑体"/>
          <w:b/>
          <w:color w:val="0545E8"/>
          <w:sz w:val="24"/>
        </w:rPr>
        <w:t>【B层·组长(标准达成)】目标：权衡报告</w:t>
      </w:r>
    </w:p>
    <w:p>
      <w:pPr>
        <w:spacing w:before="0" w:after="20"/>
      </w:pPr>
      <w:r>
        <w:rPr>
          <w:rFonts w:ascii="Times New Roman" w:hAnsi="Times New Roman" w:eastAsia="宋体"/>
          <w:b w:val="0"/>
          <w:sz w:val="21"/>
        </w:rPr>
        <w:t xml:space="preserve">    步骤1: 业务代价假设</w:t>
      </w:r>
    </w:p>
    <w:p>
      <w:pPr>
        <w:spacing w:before="0" w:after="20"/>
      </w:pPr>
      <w:r>
        <w:rPr>
          <w:rFonts w:ascii="Times New Roman" w:hAnsi="Times New Roman" w:eastAsia="宋体"/>
          <w:b w:val="0"/>
          <w:sz w:val="21"/>
        </w:rPr>
        <w:t xml:space="preserve">    步骤2: 选工作点</w:t>
      </w:r>
    </w:p>
    <w:p>
      <w:pPr>
        <w:spacing w:before="0" w:after="20"/>
      </w:pPr>
      <w:r>
        <w:rPr>
          <w:rFonts w:ascii="Times New Roman" w:hAnsi="Times New Roman" w:eastAsia="宋体"/>
          <w:b w:val="0"/>
          <w:sz w:val="21"/>
        </w:rPr>
        <w:t xml:space="preserve">    步骤3: 节拍适配建议</w:t>
      </w:r>
    </w:p>
    <w:p>
      <w:pPr>
        <w:spacing w:before="0" w:after="120"/>
      </w:pPr>
      <w:r>
        <w:rPr>
          <w:rFonts w:ascii="Times New Roman" w:hAnsi="Times New Roman" w:eastAsia="宋体"/>
          <w:b/>
          <w:color w:val="0545E8"/>
          <w:sz w:val="20"/>
        </w:rPr>
        <w:t xml:space="preserve">    ✔ 达标标准: 给出推荐点及理由</w:t>
      </w:r>
    </w:p>
    <w:p>
      <w:pPr>
        <w:spacing w:before="200" w:after="80"/>
        <w:pBdr>
          <w:bottom w:val="single" w:sz="8" w:color="0545E8"/>
        </w:pBdr>
      </w:pPr>
      <w:r>
        <w:rPr>
          <w:rFonts w:ascii="Times New Roman" w:hAnsi="Times New Roman" w:eastAsia="黑体"/>
          <w:b/>
          <w:color w:val="C04A0A"/>
          <w:sz w:val="24"/>
        </w:rPr>
        <w:t>【A层·师傅(进阶拓展)】目标：速度冲优</w:t>
      </w:r>
    </w:p>
    <w:p>
      <w:pPr>
        <w:spacing w:before="0" w:after="20"/>
      </w:pPr>
      <w:r>
        <w:rPr>
          <w:rFonts w:ascii="Times New Roman" w:hAnsi="Times New Roman" w:eastAsia="宋体"/>
          <w:b w:val="0"/>
          <w:sz w:val="21"/>
        </w:rPr>
        <w:t xml:space="preserve">    步骤1: ONNX量化半精度</w:t>
      </w:r>
    </w:p>
    <w:p>
      <w:pPr>
        <w:spacing w:before="0" w:after="20"/>
      </w:pPr>
      <w:r>
        <w:rPr>
          <w:rFonts w:ascii="Times New Roman" w:hAnsi="Times New Roman" w:eastAsia="宋体"/>
          <w:b w:val="0"/>
          <w:sz w:val="21"/>
        </w:rPr>
        <w:t xml:space="preserve">    步骤2: 对比加速比</w:t>
      </w:r>
    </w:p>
    <w:p>
      <w:pPr>
        <w:spacing w:before="0" w:after="20"/>
      </w:pPr>
      <w:r>
        <w:rPr>
          <w:rFonts w:ascii="Times New Roman" w:hAnsi="Times New Roman" w:eastAsia="宋体"/>
          <w:b w:val="0"/>
          <w:sz w:val="21"/>
        </w:rPr>
        <w:t xml:space="preserve">    步骤3: 精度损失可控</w:t>
      </w:r>
    </w:p>
    <w:p>
      <w:pPr>
        <w:spacing w:before="0" w:after="120"/>
      </w:pPr>
      <w:r>
        <w:rPr>
          <w:rFonts w:ascii="Times New Roman" w:hAnsi="Times New Roman" w:eastAsia="宋体"/>
          <w:b/>
          <w:color w:val="C04A0A"/>
          <w:sz w:val="20"/>
        </w:rPr>
        <w:t xml:space="preserve">    ✔ 达标标准: mAP≥0.75或加速≥50%</w:t>
      </w:r>
    </w:p>
    <w:p>
      <w:pPr>
        <w:spacing w:before="200" w:after="80"/>
        <w:pBdr>
          <w:bottom w:val="single" w:sz="8" w:color="0545E8"/>
        </w:pBdr>
      </w:pPr>
      <w:r>
        <w:rPr>
          <w:rFonts w:ascii="Times New Roman" w:hAnsi="Times New Roman" w:eastAsia="黑体"/>
          <w:b/>
          <w:color w:val="010328"/>
          <w:sz w:val="24"/>
        </w:rPr>
        <w:t>四、关键代码参考</w:t>
      </w:r>
    </w:p>
    <w:p>
      <w:pPr>
        <w:spacing w:before="0" w:after="20"/>
      </w:pPr>
      <w:r>
        <w:rPr>
          <w:rFonts w:ascii="Times New Roman" w:hAnsi="Times New Roman" w:eastAsia="宋体"/>
          <w:b/>
          <w:color w:val="0545E8"/>
          <w:sz w:val="19"/>
        </w:rPr>
        <w:t>▍ONNX推理口径</w:t>
      </w:r>
    </w:p>
    <w:p>
      <w:pPr>
        <w:spacing w:before="0" w:after="0" w:line="240" w:lineRule="exact"/>
        <w:shd w:val="clear" w:fill="F3F6FD"/>
      </w:pPr>
      <w:r>
        <w:rPr>
          <w:rFonts w:ascii="Consolas" w:hAnsi="Consolas" w:eastAsia="宋体"/>
          <w:b w:val="0"/>
          <w:sz w:val="18"/>
        </w:rPr>
        <w:t>import onnxruntime as ort, time</w:t>
      </w:r>
    </w:p>
    <w:p>
      <w:pPr>
        <w:spacing w:before="0" w:after="0" w:line="240" w:lineRule="exact"/>
        <w:shd w:val="clear" w:fill="F3F6FD"/>
      </w:pPr>
      <w:r>
        <w:rPr>
          <w:rFonts w:ascii="Consolas" w:hAnsi="Consolas" w:eastAsia="宋体"/>
          <w:b w:val="0"/>
          <w:sz w:val="18"/>
        </w:rPr>
        <w:t>sess = ort.InferenceSession("yolo.onnx")</w:t>
      </w:r>
    </w:p>
    <w:p>
      <w:pPr>
        <w:spacing w:before="0" w:after="0" w:line="240" w:lineRule="exact"/>
        <w:shd w:val="clear" w:fill="F3F6FD"/>
      </w:pPr>
      <w:r>
        <w:rPr>
          <w:rFonts w:ascii="Consolas" w:hAnsi="Consolas" w:eastAsia="宋体"/>
          <w:b w:val="0"/>
          <w:sz w:val="18"/>
        </w:rPr>
        <w:t>t0 = time.perf_counter()</w:t>
      </w:r>
    </w:p>
    <w:p>
      <w:pPr>
        <w:spacing w:before="0" w:after="0" w:line="240" w:lineRule="exact"/>
        <w:shd w:val="clear" w:fill="F3F6FD"/>
      </w:pPr>
      <w:r>
        <w:rPr>
          <w:rFonts w:ascii="Consolas" w:hAnsi="Consolas" w:eastAsia="宋体"/>
          <w:b w:val="0"/>
          <w:sz w:val="18"/>
        </w:rPr>
        <w:t>out = sess.run(None, {"images": x})[0]</w:t>
      </w:r>
    </w:p>
    <w:p>
      <w:pPr>
        <w:spacing w:before="0" w:after="0" w:line="240" w:lineRule="exact"/>
        <w:shd w:val="clear" w:fill="F3F6FD"/>
      </w:pPr>
      <w:r>
        <w:rPr>
          <w:rFonts w:ascii="Consolas" w:hAnsi="Consolas" w:eastAsia="宋体"/>
          <w:b w:val="0"/>
          <w:sz w:val="18"/>
        </w:rPr>
        <w:t>print("FPS≈", 1 / (time.perf_counter() - t0))</w:t>
      </w:r>
    </w:p>
    <w:p>
      <w:pPr>
        <w:spacing w:before="0" w:after="20"/>
      </w:pPr>
      <w:r>
        <w:rPr>
          <w:rFonts w:ascii="Times New Roman" w:hAnsi="Times New Roman" w:eastAsia="宋体"/>
          <w:b/>
          <w:color w:val="0545E8"/>
          <w:sz w:val="19"/>
        </w:rPr>
        <w:t>▍阈值过滤</w:t>
      </w:r>
    </w:p>
    <w:p>
      <w:pPr>
        <w:spacing w:before="0" w:after="0" w:line="240" w:lineRule="exact"/>
        <w:shd w:val="clear" w:fill="F3F6FD"/>
      </w:pPr>
      <w:r>
        <w:rPr>
          <w:rFonts w:ascii="Consolas" w:hAnsi="Consolas" w:eastAsia="宋体"/>
          <w:b w:val="0"/>
          <w:sz w:val="18"/>
        </w:rPr>
        <w:t>conf = out[4:].max(0)</w:t>
      </w:r>
    </w:p>
    <w:p>
      <w:pPr>
        <w:spacing w:before="0" w:after="0" w:line="240" w:lineRule="exact"/>
        <w:shd w:val="clear" w:fill="F3F6FD"/>
      </w:pPr>
      <w:r>
        <w:rPr>
          <w:rFonts w:ascii="Consolas" w:hAnsi="Consolas" w:eastAsia="宋体"/>
          <w:b w:val="0"/>
          <w:sz w:val="18"/>
        </w:rPr>
        <w:t>keep = conf &gt; 0.4</w:t>
      </w:r>
    </w:p>
    <w:p>
      <w:pPr>
        <w:spacing w:before="0" w:after="0" w:line="240" w:lineRule="exact"/>
        <w:shd w:val="clear" w:fill="F3F6FD"/>
      </w:pPr>
      <w:r>
        <w:rPr>
          <w:rFonts w:ascii="Consolas" w:hAnsi="Consolas" w:eastAsia="宋体"/>
          <w:b w:val="0"/>
          <w:sz w:val="18"/>
        </w:rPr>
        <w:t>boxes = xywh[keep]</w:t>
      </w:r>
    </w:p>
    <w:p>
      <w:pPr>
        <w:spacing w:before="200" w:after="80"/>
        <w:pBdr>
          <w:bottom w:val="single" w:sz="8" w:color="0545E8"/>
        </w:pBdr>
      </w:pPr>
      <w:r>
        <w:rPr>
          <w:rFonts w:ascii="Times New Roman" w:hAnsi="Times New Roman" w:eastAsia="黑体"/>
          <w:b/>
          <w:color w:val="010328"/>
          <w:sz w:val="24"/>
        </w:rPr>
        <w:t>五、常见错误速查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62"/>
        <w:gridCol w:w="3362"/>
        <w:gridCol w:w="3362"/>
      </w:tblGrid>
      <w:tr>
        <w:tc>
          <w:tcPr>
            <w:tcW w:type="dxa" w:w="3362"/>
          </w:tcPr>
          <w:p>
            <w:r>
              <w:rPr>
                <w:b/>
                <w:sz w:val="18"/>
              </w:rPr>
              <w:t>现象</w:t>
            </w:r>
          </w:p>
        </w:tc>
        <w:tc>
          <w:tcPr>
            <w:tcW w:type="dxa" w:w="3362"/>
          </w:tcPr>
          <w:p>
            <w:r>
              <w:rPr>
                <w:b/>
                <w:sz w:val="18"/>
              </w:rPr>
              <w:t>原因</w:t>
            </w:r>
          </w:p>
        </w:tc>
        <w:tc>
          <w:tcPr>
            <w:tcW w:type="dxa" w:w="3362"/>
          </w:tcPr>
          <w:p>
            <w:r>
              <w:rPr>
                <w:b/>
                <w:sz w:val="18"/>
              </w:rPr>
              <w:t>解决</w:t>
            </w:r>
          </w:p>
        </w:tc>
      </w:tr>
      <w:tr>
        <w:tc>
          <w:tcPr>
            <w:tcW w:type="dxa" w:w="3362"/>
          </w:tcPr>
          <w:p>
            <w:r>
              <w:rPr>
                <w:sz w:val="18"/>
              </w:rPr>
              <w:t>FPS波动大</w:t>
            </w:r>
          </w:p>
        </w:tc>
        <w:tc>
          <w:tcPr>
            <w:tcW w:type="dxa" w:w="3362"/>
          </w:tcPr>
          <w:p>
            <w:r>
              <w:rPr>
                <w:sz w:val="18"/>
              </w:rPr>
              <w:t>首帧含warmup</w:t>
            </w:r>
          </w:p>
        </w:tc>
        <w:tc>
          <w:tcPr>
            <w:tcW w:type="dxa" w:w="3362"/>
          </w:tcPr>
          <w:p>
            <w:r>
              <w:rPr>
                <w:sz w:val="18"/>
              </w:rPr>
              <w:t>先跑3帧预热再计时</w:t>
            </w:r>
          </w:p>
        </w:tc>
      </w:tr>
      <w:tr>
        <w:tc>
          <w:tcPr>
            <w:tcW w:type="dxa" w:w="3362"/>
          </w:tcPr>
          <w:p>
            <w:r>
              <w:rPr>
                <w:sz w:val="18"/>
              </w:rPr>
              <w:t>框全叠一起</w:t>
            </w:r>
          </w:p>
        </w:tc>
        <w:tc>
          <w:tcPr>
            <w:tcW w:type="dxa" w:w="3362"/>
          </w:tcPr>
          <w:p>
            <w:r>
              <w:rPr>
                <w:sz w:val="18"/>
              </w:rPr>
              <w:t>未做NMS</w:t>
            </w:r>
          </w:p>
        </w:tc>
        <w:tc>
          <w:tcPr>
            <w:tcW w:type="dxa" w:w="3362"/>
          </w:tcPr>
          <w:p>
            <w:r>
              <w:rPr>
                <w:sz w:val="18"/>
              </w:rPr>
              <w:t>按类做非极大值抑制</w:t>
            </w:r>
          </w:p>
        </w:tc>
      </w:tr>
      <w:tr>
        <w:tc>
          <w:tcPr>
            <w:tcW w:type="dxa" w:w="3362"/>
          </w:tcPr>
          <w:p>
            <w:r>
              <w:rPr>
                <w:sz w:val="18"/>
              </w:rPr>
              <w:t>mAP对不上</w:t>
            </w:r>
          </w:p>
        </w:tc>
        <w:tc>
          <w:tcPr>
            <w:tcW w:type="dxa" w:w="3362"/>
          </w:tcPr>
          <w:p>
            <w:r>
              <w:rPr>
                <w:sz w:val="18"/>
              </w:rPr>
              <w:t>测试集口径不同</w:t>
            </w:r>
          </w:p>
        </w:tc>
        <w:tc>
          <w:tcPr>
            <w:tcW w:type="dxa" w:w="3362"/>
          </w:tcPr>
          <w:p>
            <w:r>
              <w:rPr>
                <w:sz w:val="18"/>
              </w:rPr>
              <w:t>统一测试集与IoU0.5</w:t>
            </w:r>
          </w:p>
        </w:tc>
      </w:tr>
    </w:tbl>
    <w:p>
      <w:pPr>
        <w:spacing w:before="200" w:after="80"/>
        <w:pBdr>
          <w:bottom w:val="single" w:sz="8" w:color="0545E8"/>
        </w:pBdr>
      </w:pPr>
      <w:r>
        <w:rPr>
          <w:rFonts w:ascii="Times New Roman" w:hAnsi="Times New Roman" w:eastAsia="黑体"/>
          <w:b/>
          <w:color w:val="010328"/>
          <w:sz w:val="24"/>
        </w:rPr>
        <w:t>六、提交物与评分</w:t>
      </w:r>
    </w:p>
    <w:p>
      <w:pPr>
        <w:spacing w:before="0" w:after="80"/>
      </w:pPr>
      <w:r>
        <w:rPr>
          <w:rFonts w:ascii="Times New Roman" w:hAnsi="Times New Roman" w:eastAsia="宋体"/>
          <w:b w:val="0"/>
          <w:sz w:val="20"/>
        </w:rPr>
        <w:t>提交物: 程序/笔记本(含运行输出) + 本工单(勾选层与达标自评) + 过程记录</w:t>
      </w:r>
    </w:p>
    <w:p>
      <w:pPr>
        <w:spacing w:before="0" w:after="80"/>
      </w:pPr>
      <w:r>
        <w:rPr>
          <w:rFonts w:ascii="Times New Roman" w:hAnsi="Times New Roman" w:eastAsia="宋体"/>
          <w:b w:val="0"/>
          <w:sz w:val="20"/>
        </w:rPr>
        <w:t>评分: 功能40% + 技术质量25% + 代码规范20% + 工程素养15%（D≥60 / C≥70 / B≥80 / A≥90，详见《工单评价通用量表》）</w:t>
      </w:r>
    </w:p>
    <w:p>
      <w:pPr>
        <w:spacing w:before="0" w:after="80"/>
      </w:pPr>
      <w:r>
        <w:rPr>
          <w:rFonts w:ascii="Times New Roman" w:hAnsi="Times New Roman" w:eastAsia="宋体"/>
          <w:b w:val="0"/>
          <w:color w:val="44546A"/>
          <w:sz w:val="20"/>
        </w:rPr>
        <w:t>自评: 我完成了____层任务，最得意的一步是____________，卡壳最久的是____________。</w:t>
      </w:r>
    </w:p>
    <w:p>
      <w:pPr>
        <w:spacing w:before="120" w:after="80"/>
      </w:pPr>
      <w:r>
        <w:rPr>
          <w:rFonts w:ascii="Times New Roman" w:hAnsi="Times New Roman" w:eastAsia="宋体"/>
          <w:b w:val="0"/>
          <w:sz w:val="20"/>
        </w:rPr>
        <w:t>学号______ 姓名______ 组号____ 组长签字________</w:t>
      </w:r>
    </w:p>
    <w:sectPr w:rsidR="00FC693F" w:rsidRPr="0006063C" w:rsidSect="00034616">
      <w:pgSz w:w="12240" w:h="15840"/>
      <w:pgMar w:top="1020" w:right="1077" w:bottom="1020" w:left="107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