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· 双元制本土化实施指南</w:t>
      </w:r>
    </w:p>
    <w:p>
      <w:pPr>
        <w:ind w:left="360"/>
      </w:pPr>
      <w:r>
        <w:rPr>
          <w:i/>
          <w:color w:val="4A5158"/>
        </w:rPr>
        <w:t>本文回答一个问题：德国双元制搬到中国高职课堂，哪些能搬、怎么搬、哪些不能照搬。 不是介绍德国制度，而是给出本课程可执行的本土化方案。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德国双元制的六个核心要素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要素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德文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能否照搬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两个学习地点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Lernorte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 + 职业学校，各有教学任务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部分：企业深度参与需机制保障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两个法律主体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Ausbildungsbetrieb / Berufsschule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企业按培训条例，学校按框架教学计划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否：我国以学校为主体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职业标准驱动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Ausbildungsordnung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全国统一的培训职业标准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可转化：用专业教学标准 + 企业岗位标准替代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学习领域课程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Lernfeldkonzept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按工作任务组织课程，不按学科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可搬：本课程 16 个学习情境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行动导向教学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Handlungsorientierung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学生完整经历"信息—计划—决策—实施—检查—评价"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可搬：每讲六步法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双元考试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IHK/HWK Prüfung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第三方（商会）认证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部分：用企业验收 + 1+X 替代</w:t>
            </w:r>
          </w:p>
        </w:tc>
      </w:tr>
    </w:tbl>
    <w:p>
      <w:r>
        <w:rPr>
          <w:b/>
        </w:rPr>
        <w:t>结论</w:t>
      </w:r>
      <w:r>
        <w:rPr>
          <w:b w:val="0"/>
        </w:rPr>
        <w:t>：可搬的是</w:t>
      </w:r>
      <w:r>
        <w:rPr>
          <w:b/>
        </w:rPr>
        <w:t>教学法与课程组织</w:t>
      </w:r>
      <w:r>
        <w:rPr>
          <w:b w:val="0"/>
        </w:rPr>
        <w:t>（学习领域、行动导向、完整行动）， 不能照搬的是</w:t>
      </w:r>
      <w:r>
        <w:rPr>
          <w:b/>
        </w:rPr>
        <w:t>制度架构</w:t>
      </w:r>
      <w:r>
        <w:rPr>
          <w:b w:val="0"/>
        </w:rPr>
        <w:t>（法律主体、商会考试）。本土化的关键是把"制度双元"转成"</w:t>
      </w:r>
      <w:r>
        <w:rPr>
          <w:b/>
        </w:rPr>
        <w:t>资源双元 + 评价双元</w:t>
      </w:r>
      <w:r>
        <w:rPr>
          <w:b w:val="0"/>
        </w:rPr>
        <w:t>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本土化改造的四层模型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标准层：专业教学标准 + 企业岗位标准 + 1+X 证书标准        │</w:t>
        <w:br/>
        <w:t>│         → 提炼 15 条能力目标（CO1–CO15）                 │</w:t>
        <w:br/>
        <w:t>├─────────────────────────────────────────────────────────┤</w:t>
        <w:br/>
        <w:t>│ 课程层：8 个学习领域（Lernfeld）→ 16 个学习情境（Lernsituation）│</w:t>
        <w:br/>
        <w:t>│         → 每个情境 = 一个企业任务 + 一个可验收工件        │</w:t>
        <w:br/>
        <w:t>├─────────────────────────────────────────────────────────┤</w:t>
        <w:br/>
        <w:t>│ 教学层：完整行动六步 + 双导师 + 学习站（机房/现场）        │</w:t>
        <w:br/>
        <w:t>│         → 每讲 180 分钟标准节奏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评价层：过程性 60%（工件）+ 终结性 40%（验收 + 答辩）      │</w:t>
        <w:br/>
        <w:t>│         → 企业验收清单进课堂，企业工程师当评委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学习领域 → 学习情境的转化五步</w:t>
      </w:r>
    </w:p>
    <w:p>
      <w:pPr>
        <w:ind w:left="360"/>
      </w:pPr>
      <w:r>
        <w:rPr>
          <w:i/>
          <w:color w:val="4A5158"/>
        </w:rPr>
        <w:t>德国做法：从"职业工作任务"提炼"学习领域"，再设计"学习情境"。 本课程按以下五步完成转化，教师可直接套用到其他课程。</w:t>
      </w:r>
    </w:p>
    <w:p>
      <w:pPr>
        <w:pStyle w:val="Heading3"/>
      </w:pPr>
      <w:r>
        <w:t>第 1 步：岗位工作任务清单</w:t>
      </w:r>
    </w:p>
    <w:p>
      <w:r>
        <w:rPr>
          <w:b w:val="0"/>
        </w:rPr>
        <w:t>从企业岗位说明书中提取典型工作任务（本课程取 5 个岗位、23 项任务）：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岗位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典型工作任务（节选）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应用开发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智能体编排、工具接入、提示模板维护、效果评测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交付（FDE）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现场部署、联调、验收、客户培训、问题定位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数据/算法助理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特征工程、指标计算、模型评估、误报分析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测试（AI 方向）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用例设计、缺陷定位、回归、质量门禁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边缘运维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节点部署、降级演练、巡检、版本回滚</w:t>
            </w:r>
          </w:p>
        </w:tc>
      </w:tr>
    </w:tbl>
    <w:p>
      <w:pPr>
        <w:pStyle w:val="Heading3"/>
      </w:pPr>
      <w:r>
        <w:t>第 2 步：任务聚类为学习领域</w:t>
      </w:r>
    </w:p>
    <w:p>
      <w:r>
        <w:rPr>
          <w:b w:val="0"/>
        </w:rPr>
        <w:t>把 23 项任务按"完整工作过程"聚类为 8 个学习领域：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学习领域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对应讲次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LF1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认识智能体工程与项目情境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LF2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需求获取与规格化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LF3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系统架构与领域建模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LF4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数据与特征工程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LF5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智能体内核构建（工具/循环/权限/协议/记忆）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05–09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LF6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诊断、预测与决策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10–12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LF7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质量保证与部署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13–14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LF8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可观测治理与交付验收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15–16</w:t>
            </w:r>
          </w:p>
        </w:tc>
      </w:tr>
    </w:tbl>
    <w:p>
      <w:pPr>
        <w:pStyle w:val="Heading3"/>
      </w:pPr>
      <w:r>
        <w:t>第 3 步：每个学习领域设计 1–2 个学习情境</w:t>
      </w:r>
    </w:p>
    <w:p>
      <w:r>
        <w:rPr>
          <w:b w:val="0"/>
        </w:rPr>
        <w:t>学习情境必须满足三个条件：</w:t>
      </w:r>
    </w:p>
    <w:p>
      <w:pPr>
        <w:pStyle w:val="ListNumber"/>
        <w:ind w:left="360"/>
      </w:pPr>
      <w:r>
        <w:rPr>
          <w:b/>
        </w:rPr>
        <w:t>有真实委托方</w:t>
      </w:r>
      <w:r>
        <w:rPr>
          <w:b w:val="0"/>
        </w:rPr>
        <w:t>（企业/班组/客户）；</w:t>
      </w:r>
    </w:p>
    <w:p>
      <w:pPr>
        <w:pStyle w:val="ListNumber"/>
        <w:ind w:left="360"/>
      </w:pPr>
      <w:r>
        <w:rPr>
          <w:b/>
        </w:rPr>
        <w:t>有可验收工件</w:t>
      </w:r>
      <w:r>
        <w:rPr>
          <w:b w:val="0"/>
        </w:rPr>
        <w:t>（不是"讨论一下"）；</w:t>
      </w:r>
    </w:p>
    <w:p>
      <w:pPr>
        <w:pStyle w:val="ListNumber"/>
        <w:ind w:left="360"/>
      </w:pPr>
      <w:r>
        <w:rPr>
          <w:b/>
        </w:rPr>
        <w:t>有决策点</w:t>
      </w:r>
      <w:r>
        <w:rPr>
          <w:b w:val="0"/>
        </w:rPr>
        <w:t>（学生要做取舍，不是照做）。</w:t>
      </w:r>
    </w:p>
    <w:p>
      <w:r>
        <w:rPr>
          <w:b w:val="0"/>
        </w:rPr>
        <w:t>示例（LF5 拆为 5 个情境）：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情境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委托语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工具怎么给模型用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"出了事谁负责？"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粒度与副作用分级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循环怎么停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"它为什么转了 8 圈？"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熔断阈值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权限怎么管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"一句话就被骗去关告警"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ask 还是 deny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怎么对接客户平台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"我们有三个客户"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工具/资源/提示的边界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经验怎么沉淀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"老师傅的话怎么变成技能"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谁能批准生效</w:t>
            </w:r>
          </w:p>
        </w:tc>
      </w:tr>
    </w:tbl>
    <w:p>
      <w:pPr>
        <w:pStyle w:val="Heading3"/>
      </w:pPr>
      <w:r>
        <w:t>第 4 步：写"工作任务单"（Arbeitsauftrag）</w:t>
      </w:r>
    </w:p>
    <w:p>
      <w:r>
        <w:rPr>
          <w:b w:val="0"/>
        </w:rPr>
        <w:t>任务单五要素：</w:t>
      </w:r>
      <w:r>
        <w:rPr>
          <w:b/>
        </w:rPr>
        <w:t>委托背景、交付要求、约束条件、验收标准、时间节点</w:t>
      </w:r>
      <w:r>
        <w:rPr>
          <w:b w:val="0"/>
        </w:rPr>
        <w:t xml:space="preserve">。 本课程 16 份任务书见 </w:t>
      </w:r>
      <w:r>
        <w:rPr>
          <w:rFonts w:ascii="Consolas" w:hAnsi="Consolas"/>
          <w:b w:val="0"/>
          <w:color w:val="0B4F75"/>
          <w:sz w:val="19"/>
        </w:rPr>
        <w:t>09_项目任务书/</w:t>
      </w:r>
      <w:r>
        <w:rPr>
          <w:b w:val="0"/>
        </w:rPr>
        <w:t>。</w:t>
      </w:r>
    </w:p>
    <w:p>
      <w:pPr>
        <w:pStyle w:val="Heading3"/>
      </w:pPr>
      <w:r>
        <w:t>第 5 步：配评价量表</w:t>
      </w:r>
    </w:p>
    <w:p>
      <w:r>
        <w:rPr>
          <w:b w:val="0"/>
        </w:rPr>
        <w:t xml:space="preserve">每个情境配 3–5 个评分点，权重之和为 100%，与企业验收口径对齐（见 </w:t>
      </w:r>
      <w:r>
        <w:rPr>
          <w:rFonts w:ascii="Consolas" w:hAnsi="Consolas"/>
          <w:b w:val="0"/>
          <w:color w:val="0B4F75"/>
          <w:sz w:val="19"/>
        </w:rPr>
        <w:t>04</w:t>
      </w:r>
      <w:r>
        <w:rPr>
          <w:b w:val="0"/>
        </w:rPr>
        <w:t>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双导师制的运行机制</w:t>
      </w:r>
    </w:p>
    <w:p>
      <w:pPr>
        <w:pStyle w:val="Heading3"/>
      </w:pPr>
      <w:r>
        <w:t>4.1 企业导师从哪来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优势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合作企业 AI/交付工程师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讲得真、案例多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不会教、时间不稳定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教学法短训 + 固定课表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企业技术经理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能讲决策与权衡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容易讲成产品宣传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明确"讲任务不讲产品"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往届毕业生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贴近学生、有共鸣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经验年限短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只承担实操带教</w:t>
            </w:r>
          </w:p>
        </w:tc>
      </w:tr>
    </w:tbl>
    <w:p>
      <w:pPr>
        <w:pStyle w:val="Heading3"/>
      </w:pPr>
      <w:r>
        <w:t>4.2 企业导师的"三个必须"</w:t>
      </w:r>
    </w:p>
    <w:p>
      <w:pPr>
        <w:pStyle w:val="ListNumber"/>
        <w:ind w:left="360"/>
      </w:pPr>
      <w:r>
        <w:rPr>
          <w:b/>
        </w:rPr>
        <w:t>必须带真实工件来</w:t>
      </w:r>
      <w:r>
        <w:rPr>
          <w:b w:val="0"/>
        </w:rPr>
        <w:t>：一张真实工单、一份真实判据表、一次真实误报记录。</w:t>
      </w:r>
    </w:p>
    <w:p>
      <w:pPr>
        <w:pStyle w:val="ListNumber"/>
        <w:ind w:left="360"/>
      </w:pPr>
      <w:r>
        <w:rPr>
          <w:b/>
        </w:rPr>
        <w:t>必须讲一次"我做错了什么"</w:t>
      </w:r>
      <w:r>
        <w:rPr>
          <w:b w:val="0"/>
        </w:rPr>
        <w:t>：失败案例比成功案例更有教学价值。</w:t>
      </w:r>
    </w:p>
    <w:p>
      <w:pPr>
        <w:pStyle w:val="ListNumber"/>
        <w:ind w:left="360"/>
      </w:pPr>
      <w:r>
        <w:rPr>
          <w:b/>
        </w:rPr>
        <w:t>必须给一条可执行建议</w:t>
      </w:r>
      <w:r>
        <w:rPr>
          <w:b w:val="0"/>
        </w:rPr>
        <w:t>：对学生方案说"现场会怎么改"。</w:t>
      </w:r>
    </w:p>
    <w:p>
      <w:pPr>
        <w:pStyle w:val="Heading3"/>
      </w:pPr>
      <w:r>
        <w:t>4.3 双导师协同的"三个不"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不做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企业导师不替代教师控场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课堂节奏与安全由教师负责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教师不替企业导师"翻译"现场语言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现场语言本身就是教学内容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企业导师不评价学生"聪明与否"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只评价"做法在现场行不行"</w:t>
            </w:r>
          </w:p>
        </w:tc>
      </w:tr>
    </w:tbl>
    <w:p>
      <w:pPr>
        <w:pStyle w:val="Heading3"/>
      </w:pPr>
      <w:r>
        <w:t>4.4 企业导师教学法短训（2 学时）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30′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课程目标与学情：学生不是员工，别按员工要求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30′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行动导向六步：怎么提问、怎么放手、怎么点评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30′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任务书怎么用：讲背景、给约束、留决策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30′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评价量表怎么打：看证据，不看口才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学习站（Lerninsel）布置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区域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讨论区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事件风暴、方案决策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白板/大白纸、便利贴四色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开发区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结对编程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双屏、耳机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评审区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交叉验收、答辩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投影、计时器、评分表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展示区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工件墙、红线承诺书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磁贴墙、打印工件</w:t>
            </w:r>
          </w:p>
        </w:tc>
      </w:tr>
    </w:tbl>
    <w:p>
      <w:pPr>
        <w:ind w:left="360"/>
      </w:pPr>
      <w:r>
        <w:rPr>
          <w:i/>
          <w:color w:val="4A5158"/>
        </w:rPr>
        <w:t>学习站的价值在于"空间即教学法"：学生一进教室就知道"今天要产出东西"。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课程思政映射（6 个融入点）</w:t>
      </w:r>
    </w:p>
    <w:p>
      <w:pPr>
        <w:ind w:left="360"/>
      </w:pPr>
      <w:r>
        <w:rPr>
          <w:i/>
          <w:color w:val="4A5158"/>
        </w:rPr>
        <w:t>思政不是加一节思政课，而是在每个真实工程决策里体现价值判断。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思政主题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融入方式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可观测行为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制造强国与产业升级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讲雅迪全球基地与国产工业软件替代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能说出本项目对产业的价值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实事求是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"数据不足就说数据不足"，不许编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报告中主动标注局限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安全底线与法治意识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 2.0、生成式 AI 管理办法、红线承诺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签署承诺书并执行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工匠精神与证据意识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一条证据链的完整性反复打磨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证据缺一项即返工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协作精神与责任担当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四角色会诊、人机共决、签字负责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方案卡上有确认人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诚信与复盘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交付不许造假；复盘必须写"没做好"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复盘含 3 条真实不足</w:t>
            </w:r>
          </w:p>
        </w:tc>
      </w:tr>
    </w:tbl>
    <w:p>
      <w:r>
        <w:rPr>
          <w:b/>
        </w:rPr>
        <w:t>评价方式</w:t>
      </w:r>
      <w:r>
        <w:rPr>
          <w:b w:val="0"/>
        </w:rPr>
        <w:t>：不作为独立打分项，而是嵌入工件评分（如证据缺失扣分、复盘空泛扣分）。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6.5 学习法协同：双元制 × 布鲁姆 × 费曼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管什么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在本课程的位置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评价落点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德国双元制（完整行动）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情境与过程：真任务、真标准、真角色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个学习情境 + 每讲六步法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工件 + 企业验收清单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布鲁姆认知模型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深度：停在「记住」还是到达「评价」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每讲主层级 + 评分动词对齐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用例/答辩问题的层级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费曼学习法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输出：懂没懂，讲一遍就知道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每讲 8 分钟费曼时刻 +「讲给老周的一页纸」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费曼通过率 + 追问应答</w:t>
            </w:r>
          </w:p>
        </w:tc>
      </w:tr>
    </w:tbl>
    <w:p>
      <w:pPr>
        <w:ind w:left="360"/>
      </w:pPr>
      <w:r>
        <w:rPr>
          <w:i/>
          <w:color w:val="4A5158"/>
        </w:rPr>
        <w:t>协同逻辑：双元制保证「学的都是真的」，布鲁姆保证「学的足够深」，费曼保证「学进去的讲得出来」。 三者缺一：没有双元制 → 纸上谈兵；没有布鲁姆 → 全程「听过」；没有费曼 → 假懂带到岗位。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与德国标准的对照表（供教研/评估使用）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德国双元制要素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本课程对应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达成度自评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Lernfeldkonzept（学习领域课程）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 个 LF → 16 个学习情境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● 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Vollständige Handlung（完整行动）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每讲六步时间轴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● 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Handlungsorientierung（行动导向）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工件驱动、教师引导、学生主体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● 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Lernortkooperation（学习地点合作）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学校机房 + 企业现场/远程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○ 部分（受企业排期影响）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Ausbilder（企业培训师）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 12 学时 + 教学法短训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○ 部分（缺 AEVO 类资质）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Prüfung durch Kammer（商会考试）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企业验收清单 + 答辩 + 1+X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○ 替代方案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Berichtsheft（培训日志）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工件作品集 + 复盘报告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● 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Fachkompetenz / Methodenkompetenz / Sozialkompetenz / Personalkompetenz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CO（专业）/ 方法（测试与规格）/ SO4（协作）/ SO1–SO6（素养）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● 完整</w:t>
            </w:r>
          </w:p>
        </w:tc>
      </w:tr>
    </w:tbl>
    <w:p>
      <w:pPr>
        <w:ind w:left="360"/>
      </w:pPr>
      <w:r>
        <w:rPr>
          <w:i/>
          <w:color w:val="4A5158"/>
        </w:rPr>
        <w:t>● 完整落地 ｜ ○ 部分落地 ｜ 空白 未落地。建议每两年复评一次。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本土化风险与对策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表现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企业参与"签而不做"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协议签了，人不来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把 12 学时写进合作协议，按学时结算；准备"企业替代脚本"（教师可代讲）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企业导师讲成产品推销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 分钟讲公司多厉害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课前给"三个必须"清单；教师控场切回任务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真实数据不敢给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数据保密，课堂无案例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用脱敏 + 合成数据；企业只给"结构与判据"，不给原始值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学校设备跟不上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无集群、无 GPU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docker-compose 降级方案；GPU 非必需（本课程不训练大模型）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教师不会讲代码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只能念 PPT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教师手册给"代码走读脚本"；暑期企业实践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评价退回"考试分数"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教务处要求笔试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用"工件 + 答辩"折算计分；题库提供 180 题做笔试补充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双元质量指标（每轮评估）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计算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企业课时落实率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实际企业授课学时 / 计划 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企业任务真实性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来自真实工单/判据的任务数 / 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学生岗位适配度（企业评）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级量表均值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4.0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工件可用率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可直接复用的工件数 / 总工件数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50%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双导师协同满意度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学生问卷均值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4.2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给教研组的三条建议</w:t>
      </w:r>
    </w:p>
    <w:p>
      <w:pPr>
        <w:pStyle w:val="ListNumber"/>
        <w:ind w:left="360"/>
      </w:pPr>
      <w:r>
        <w:rPr>
          <w:b/>
        </w:rPr>
        <w:t>不要一次性改 16 讲</w:t>
      </w:r>
      <w:r>
        <w:rPr>
          <w:b w:val="0"/>
        </w:rPr>
        <w:t>：先改第 07、10、12、14 讲（企业参与度最高的四讲），验证后再推广。</w:t>
      </w:r>
    </w:p>
    <w:p>
      <w:pPr>
        <w:pStyle w:val="ListNumber"/>
        <w:ind w:left="360"/>
      </w:pPr>
      <w:r>
        <w:rPr>
          <w:b/>
        </w:rPr>
        <w:t>把任务书当"契约"而不是"作业"</w:t>
      </w:r>
      <w:r>
        <w:rPr>
          <w:b w:val="0"/>
        </w:rPr>
        <w:t>：任务书要有委托方、验收方、时间节点，学生才会当回事。</w:t>
      </w:r>
    </w:p>
    <w:p>
      <w:pPr>
        <w:pStyle w:val="ListNumber"/>
        <w:ind w:left="360"/>
      </w:pPr>
      <w:r>
        <w:rPr>
          <w:b/>
        </w:rPr>
        <w:t>保留"失败案例"</w:t>
      </w:r>
      <w:r>
        <w:rPr>
          <w:b w:val="0"/>
        </w:rPr>
        <w:t>：企业导师讲失败的 10 分钟，往往比成功的 40 分钟更有价值，不要删。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