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02 · 软件需求规格说明书（SRS）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文档编号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DT-PdM-02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依据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GB/T 8567-2006（章节结构）；ISO/IEC/IEEE 29148:2018（质量属性）；EARS 句式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v0.1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需求总数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功能 34 条 / 非功能 18 条 / 约束 9 条</w:t>
            </w:r>
          </w:p>
        </w:tc>
      </w:tr>
    </w:tbl>
    <w:p>
      <w:pPr>
        <w:ind w:left="360"/>
      </w:pPr>
      <w:r>
        <w:rPr>
          <w:i/>
          <w:color w:val="4A5158"/>
        </w:rPr>
        <w:t>EARS 句式约定（本项目强制）： - [Ubiquitous] 系统应…（无条件） - [Event] 当 &lt;触发&gt; 时，系统应…（事件驱动） - [State] 当 &lt;状态&gt; 时，系统应…（状态驱动） - [Option] 若 &lt;特性开启&gt;，系统应…（可选特性） - [Unwanted] 若 &lt;异常&gt;，系统应…（异常处理）  每条需求必须：可测试、有唯一 ID、有验收方式、有优先级（MoSCoW）。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1. 引言</w:t>
      </w:r>
    </w:p>
    <w:p>
      <w:pPr>
        <w:pStyle w:val="Heading3"/>
      </w:pPr>
      <w:r>
        <w:t>1.1 目的</w:t>
      </w:r>
    </w:p>
    <w:p>
      <w:r>
        <w:rPr>
          <w:b w:val="0"/>
        </w:rPr>
        <w:t>定义谛听平台的功能与非功能需求，作为设计、开发、测试、验收的唯一依据。</w:t>
      </w:r>
    </w:p>
    <w:p>
      <w:pPr>
        <w:pStyle w:val="Heading3"/>
      </w:pPr>
      <w:r>
        <w:t>1.2 范围</w:t>
      </w:r>
    </w:p>
    <w:p>
      <w:r>
        <w:rPr>
          <w:b w:val="0"/>
        </w:rPr>
        <w:t>单厂区关键旋转设备的预测性维护智能体平台，覆盖数据接入、诊断、交互、决策、边缘五层。</w:t>
      </w:r>
    </w:p>
    <w:p>
      <w:pPr>
        <w:pStyle w:val="Heading3"/>
      </w:pPr>
      <w:r>
        <w:t>1.3 术语</w:t>
      </w:r>
    </w:p>
    <w:p>
      <w:r>
        <w:rPr>
          <w:b w:val="0"/>
        </w:rPr>
        <w:t xml:space="preserve">见 </w:t>
      </w:r>
      <w:r>
        <w:rPr>
          <w:rFonts w:ascii="Consolas" w:hAnsi="Consolas"/>
          <w:b w:val="0"/>
          <w:color w:val="0B4F75"/>
          <w:sz w:val="19"/>
        </w:rPr>
        <w:t>docs/00 §9</w:t>
      </w:r>
      <w:r>
        <w:rPr>
          <w:b w:val="0"/>
        </w:rPr>
        <w:t>。</w:t>
      </w:r>
    </w:p>
    <w:p>
      <w:pPr>
        <w:pStyle w:val="Heading3"/>
      </w:pPr>
      <w:r>
        <w:t>1.4 参考</w:t>
      </w:r>
    </w:p>
    <w:p>
      <w:pPr>
        <w:pStyle w:val="ListBullet"/>
        <w:ind w:left="360"/>
      </w:pPr>
      <w:r>
        <w:rPr>
          <w:b w:val="0"/>
        </w:rPr>
        <w:t>GB/T 8567-2006 计算机软件文档编制规范</w:t>
      </w:r>
    </w:p>
    <w:p>
      <w:pPr>
        <w:pStyle w:val="ListBullet"/>
        <w:ind w:left="360"/>
      </w:pPr>
      <w:r>
        <w:rPr>
          <w:b w:val="0"/>
        </w:rPr>
        <w:t>GB/T 19873.1-2005 机器状态监测与诊断 振动状态监测 第1部分：总则</w:t>
      </w:r>
    </w:p>
    <w:p>
      <w:pPr>
        <w:pStyle w:val="ListBullet"/>
        <w:ind w:left="360"/>
      </w:pPr>
      <w:r>
        <w:rPr>
          <w:b w:val="0"/>
        </w:rPr>
        <w:t>GB/T 19873.3-2019 振动诊断指南</w:t>
      </w:r>
    </w:p>
    <w:p>
      <w:pPr>
        <w:pStyle w:val="ListBullet"/>
        <w:ind w:left="360"/>
      </w:pPr>
      <w:r>
        <w:rPr>
          <w:b w:val="0"/>
        </w:rPr>
        <w:t>ISO 13374-1/-2 机器状态监测与诊断 数据处理、通信与表示</w:t>
      </w:r>
    </w:p>
    <w:p>
      <w:pPr>
        <w:pStyle w:val="ListBullet"/>
        <w:ind w:left="360"/>
      </w:pPr>
      <w:r>
        <w:rPr>
          <w:b w:val="0"/>
        </w:rPr>
        <w:t>ISO 20816-1/-3 机械振动 振动烈度评价</w:t>
      </w:r>
    </w:p>
    <w:p>
      <w:pPr>
        <w:pStyle w:val="ListBullet"/>
        <w:ind w:left="360"/>
      </w:pPr>
      <w:r>
        <w:rPr>
          <w:b w:val="0"/>
        </w:rPr>
        <w:t>GB/T 22239-2019 网络安全等级保护基本要求</w:t>
      </w:r>
    </w:p>
    <w:p>
      <w:pPr>
        <w:pStyle w:val="ListBullet"/>
        <w:ind w:left="360"/>
      </w:pPr>
      <w:r>
        <w:rPr>
          <w:b w:val="0"/>
        </w:rPr>
        <w:t>GB/T 45654-2025 生成式人工智能服务安全基本要求</w:t>
      </w:r>
    </w:p>
    <w:p>
      <w:pPr>
        <w:pStyle w:val="ListBullet"/>
        <w:ind w:left="360"/>
      </w:pPr>
      <w:r>
        <w:rPr>
          <w:b w:val="0"/>
        </w:rPr>
        <w:t>GB/T 45288.1-2025 人工智能 大模型 第1部分：通用要求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2. 总体描述</w:t>
      </w:r>
    </w:p>
    <w:p>
      <w:pPr>
        <w:pStyle w:val="Heading3"/>
      </w:pPr>
      <w:r>
        <w:t>2.1 产品视角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┌──────────────┐</w:t>
        <w:br/>
        <w:t xml:space="preserve">   运维人员 → │ 对话/报告界面 │ ← 设备科长/维修班长</w:t>
        <w:br/>
        <w:t xml:space="preserve">              └──────┬───────┘</w:t>
        <w:br/>
        <w:t xml:space="preserve">                     │ MCP / REST</w:t>
        <w:br/>
        <w:t xml:space="preserve">              ┌──────▼───────────────────────┐</w:t>
        <w:br/>
        <w:t xml:space="preserve">              │  Agent Harness 运行时         │</w:t>
        <w:br/>
        <w:t xml:space="preserve">              │  （工具/权限/记忆/审计/评测）  │</w:t>
        <w:br/>
        <w:t xml:space="preserve">              └──────┬───────────────────────┘</w:t>
        <w:br/>
        <w:t xml:space="preserve">     ┌───────────────┼───────────────┬──────────────┐</w:t>
        <w:br/>
        <w:t xml:space="preserve">     ▼               ▼               ▼              ▼</w:t>
        <w:br/>
        <w:t xml:space="preserve"> 诊断引擎        决策会诊        知识库        外部系统</w:t>
        <w:br/>
        <w:t xml:space="preserve"> (SD/HA/PA)     (4角色+评估)   (故障模式)    (EAM/MES/备件)</w:t>
        <w:br/>
        <w:t xml:space="preserve">     ▲</w:t>
        <w:br/>
        <w:t xml:space="preserve">     │</w:t>
        <w:br/>
        <w:t xml:space="preserve"> 数据底座（DA/DM）：统一命名空间 + 时序库 + 事件</w:t>
        <w:br/>
        <w:t xml:space="preserve">     ▲</w:t>
        <w:br/>
        <w:t xml:space="preserve">     │ OPC UA / Modbus / MQTT / S7</w:t>
        <w:br/>
        <w:t xml:space="preserve">  设备 / 传感器 / PLC</w:t>
      </w:r>
    </w:p>
    <w:p>
      <w:pPr>
        <w:pStyle w:val="Heading3"/>
      </w:pPr>
      <w:r>
        <w:t>2.2 用户类别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角色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使用频率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核心诉求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关键功能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快速定位异常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自然语言诊断、频谱查看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维修班长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每日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知道该干什么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方案卡、工单草稿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设备科长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全局健康与风险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健康看板、周报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可靠性工程师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每周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故障模式与根因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案例库、RUL 曲线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生产计划员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按需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停机窗口协商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排产冲突分析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系统管理员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持续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稳定与合规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审计、权限、配置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算法工程师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持续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模型迭代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数据集、评测、A/B</w:t>
            </w:r>
          </w:p>
        </w:tc>
      </w:tr>
    </w:tbl>
    <w:p>
      <w:pPr>
        <w:pStyle w:val="Heading3"/>
      </w:pPr>
      <w: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边缘节点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工业计算机，≥ 8 核 / 32 GB / 512 GB SSD，可选 GPU（≥ 8 GB 显存）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中心侧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私有云 K8s，≥ 3 节点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网络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厂区工业环网 + 单向隔离闸（OT→IT）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断网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边缘可离线运行 ≥ 72 小时</w:t>
            </w:r>
          </w:p>
        </w:tc>
      </w:tr>
    </w:tbl>
    <w:p>
      <w:pPr>
        <w:pStyle w:val="Heading3"/>
      </w:pPr>
      <w:r>
        <w:t>2.4 设计与实现约束（CON）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约束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CON-01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系统不得向 PLC/DCS 下发任何控制指令（只读采集）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CON-02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原始波形数据不得出厂区，出厂仅限特征值与事件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CON-03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所有写操作（工单/备件）必须人工确认并留痕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CON-04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必须支持国产化环境（麒麟/统信 OS、达梦/人大金仓可选）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CON-05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模型与算法必须可替换（插件化接口）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CON-06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必须满足等保三级技术要求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CON-07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单节点采集能力 ≥ 5,000 点/秒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CON-08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时间戳统一为 UTC，展示层转本地时区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CON-09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禁止使用非商用许可的模型权重用于生产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3. 功能需求</w:t>
      </w:r>
    </w:p>
    <w:p>
      <w:pPr>
        <w:pStyle w:val="Heading3"/>
      </w:pPr>
      <w:r>
        <w:t>3.1 模块 M1：数据接入与治理（DA/DM）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系统应支持 OPC UA、Modbus TCP/RTU、MQTT、Siemens S7 四类协议的接入，新增一种协议适配不得修改上层代码。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接入 4 类设备演示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当新设备注册时，系统应自动生成该设备的统一命名空间实体（设备/部件/测点三级）并分配全局唯一 ID。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注册后查询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系统应对每个测点维护元数据：量纲、采样率、量程、安装位置、校准日期、校准证书号。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元数据完整性报告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当采集数据到达时，系统应执行质量校验（缺失、超量程、冻结值、时间戳跳变），并给出 0–100 的数据质量分。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注入脏数据验证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若某测点连续 5 分钟无数据，系统应将该测点标记为 STALE 并通知，但不得中断其他测点的处理。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断流测试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当设备处于停机状态时，系统应自动切换至"停机基线"模式，暂停基于运行的阈值判定，避免误报。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停机场景回放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系统应保留原始波形数据 ≥ 90 天，特征值 ≥ 3 年，事件与结论 ≥ 5 年。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存储策略核查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FR-108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若启用边缘预处理，系统应支持在边缘完成重采样、滤波、特征提取，仅上传特征值与异常片段。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带宽对比</w:t>
            </w:r>
          </w:p>
        </w:tc>
      </w:tr>
    </w:tbl>
    <w:p>
      <w:pPr>
        <w:pStyle w:val="Heading3"/>
      </w:pPr>
      <w:r>
        <w:t>3.2 模块 M2：状态检测与健康评估（SD/HA）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系统应对振动信号计算时域特征（RMS、峰值、峰峰值、峭度、偏度、裕度因子）与频域特征（FFT 主频、TOP5 谱峰、包络谱、边频带）。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特征值对拍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当振动烈度超过 ISO 20816 相应机型分区限值时，系统应生成对应等级的状态事件。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标准案例验证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系统应输出 0–100 的健康指数 HI，并按绿（≥80）/黄（60–79）/橙（40–59）/红（&lt;40）四级呈现。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报告核对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HI 的计算必须可解释：输出各特征对 HI 的贡献度（Shapley 或等价方法）。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解释报告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当检测到轴承特征频率（BPFO/BPFI/BSF/FTF）及其谐波时，系统应给出轴承类故障假设及置信度。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已知故障回放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当同一设备 24 小时内出现 ≥ 3 个不同维度的异常（振动/温度/电流）时，系统应触发"多源印证"标记，提升告警等级。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场景构造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若某传感器通道失效，系统应降级使用剩余通道并输出"降级模式"标记与置信度下调说明，不得输出"正常"。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通道拔除测试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当设备检修完成后，系统应支持"基线重置"，重新学习健康基线并记录重置原因与操作人。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操作审计</w:t>
            </w:r>
          </w:p>
        </w:tc>
      </w:tr>
    </w:tbl>
    <w:p>
      <w:pPr>
        <w:pStyle w:val="Heading3"/>
      </w:pPr>
      <w:r>
        <w:t>3.3 模块 M3：预后与 RUL（PA）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FR-301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系统应输出 RUL 的区间估计（P10/P50/P90），而非单点值。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报告核对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FR-302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RUL 输出必须附带模型版本、训练数据时间窗、置信度与适用工况范围。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报告核对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FR-303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若设备运行工况超出模型训练分布（OOD），系统应标注"外推风险"并抑制精确数值，仅给趋势方向。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OOD 样本测试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FR-304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 RUL 中位数 &lt; 30 天且趋势加速时，系统应自动升级为橙色并进入决策会诊流程。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场景回放</w:t>
            </w:r>
          </w:p>
        </w:tc>
      </w:tr>
    </w:tbl>
    <w:p>
      <w:pPr>
        <w:pStyle w:val="Heading3"/>
      </w:pPr>
      <w:r>
        <w:t>3.4 模块 M4：交互入口（AG-解释层）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当用户以自然语言提问设备状态时，系统应识别设备、时间窗、分析类型三要素，缺项时反问补齐。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100 条测试集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系统应以 MCP 协议对外暴露诊断能力，工具清单见 docs/06 §3，工具总数 ≤ 12。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MCP 客户端联调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系统生成的每一条结论必须引用证据（测点 ID、时间窗、特征值、规则 ID 或模型版本），无证据的结论不得输出。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抽样审计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若用户提问超出系统能力（如"预测明天产量"），系统应明确拒答并说明能力边界，不得编造。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越界提问测试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系统应生成交互式 HTML 诊断报告，包含：结论、证据、频谱图、趋势图、建议动作、置信度。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报告样例评审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当用户对结论提出质疑时，系统应能展开"推理链"（用了哪些工具、看到什么数据、依据什么规则）。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交互演示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Option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若启用语音入口，系统应支持语音提问并返回文字+语音摘要。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Could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演示</w:t>
            </w:r>
          </w:p>
        </w:tc>
      </w:tr>
    </w:tbl>
    <w:p>
      <w:pPr>
        <w:pStyle w:val="Heading3"/>
      </w:pPr>
      <w:r>
        <w:t>3.5 模块 M5：决策会诊（AG-执行层）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当触发决策会诊时，系统应并行召集四个角色（车间/可靠性/生产/维修），各自基于授权数据独立输出意见。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会诊日志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系统应设置独立评估者（Evaluator），对四角色意见做一致性校验与冲突识别，不得由生成方自评。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冲突场景测试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会诊输出必须是"维护方案卡"，字段见 docs/06 §4.3，缺字段不得提交。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卡片校验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方案卡必须包含经济性计算：停机成本、备件成本、延期风险成本、推荐窗口的净收益。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财务复核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当推荐窗口与生产排产冲突时，系统应给出 ≥ 2 个备选窗口及各自的代价对比。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冲突场景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方案卡生成后必须经人工确认（设备科长/维修主管）方可转为工单。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流程验证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当人工确认后，系统应通过 EAM 接口创建工单草稿，并回写工单号至方案卡。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联调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 EAM 接口调用失败，系统应重试 3 次（指数退避）后转人工队列，并标记"未闭环"。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故障注入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State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当方案卡被拒绝时，系统应记录拒绝原因分类（误报/时机不当/成本过高/其他），用于模型迭代。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数据核查</w:t>
            </w:r>
          </w:p>
        </w:tc>
      </w:tr>
    </w:tbl>
    <w:p>
      <w:pPr>
        <w:pStyle w:val="Heading3"/>
      </w:pPr>
      <w:r>
        <w:t>3.6 模块 M6：告警与通知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FR-601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系统应支持四级告警（绿/黄/橙/红），每级绑定明确的接收角色与响应时限。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配置核查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FR-602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当橙色及以上告警在响应时限内未被"已知悉"时，系统应自动升级至上一级责任人。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计时测试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FR-603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系统应对同类告警设置抑制窗口（默认 4 小时），窗口内合并为一条并累加计数。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场景测试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FR-604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当用户点击"已知悉"时，系统应要求选择处置动作（处理中/转工单/忽略并说明原因）。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交互验证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FR-605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每条告警必须携带"建议动作"，仅有分数的告警不得发送。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消息模板核查</w:t>
            </w:r>
          </w:p>
        </w:tc>
      </w:tr>
    </w:tbl>
    <w:p>
      <w:pPr>
        <w:pStyle w:val="Heading3"/>
      </w:pPr>
      <w:r>
        <w:t>3.7 模块 M7：边缘与降级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FR-701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若边缘与中心失联，边缘应继续本地诊断与告警，缓存结果并在恢复后补传。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断网 30 分钟测试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FR-702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Unwanted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若本地 LLM 不可用，系统应降级为"模板化报告 + 规则结论"，仍输出建议动作。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服务停止测试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FR-703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当边缘缓存超过阈值（默认 20 GB）时，系统应按优先级淘汰（原始波形优先淘汰，结论永久保留）。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容量测试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FR-704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边缘节点应支持离线授权（License 有效期 ≥ 90 天），到期前 30 天告警。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Should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授权测试</w:t>
            </w:r>
          </w:p>
        </w:tc>
      </w:tr>
    </w:tbl>
    <w:p>
      <w:pPr>
        <w:pStyle w:val="Heading3"/>
      </w:pPr>
      <w:r>
        <w:t>3.8 模块 M8：审计与治理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验收方式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FR-801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系统应记录所有 Agent 工具调用（入参、出参、耗时、token、模型版本），保留 ≥ 1 年。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日志核查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FR-802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系统应支持按设备+时间窗回放一次完整诊断过程（数据→特征→规则→结论）。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回放演示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FR-803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Event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当检测到提示注入特征（指令覆盖、角色扮演、越权请求）时，系统应拦截并记录安全事件。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红队 20 例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FR-804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Ubiquitous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系统应提供模型/规则/提示词的版本管理与灰度切换能力，支持一键回滚。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Must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版本切换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4. 非功能需求（NFR）</w:t>
      </w:r>
    </w:p>
    <w:p>
      <w:pPr>
        <w:pStyle w:val="Heading3"/>
      </w:pPr>
      <w:r>
        <w:t>4.1 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单节点采集吞吐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5,000 点/秒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特征计算时延（1 秒波形）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500 ms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自然语言诊断端到端时延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8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会诊方案卡生成时延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P95 ≤ 60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看板首屏加载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2 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并发用户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50</w:t>
            </w:r>
          </w:p>
        </w:tc>
      </w:tr>
    </w:tbl>
    <w:p>
      <w:pPr>
        <w:pStyle w:val="Heading3"/>
      </w:pPr>
      <w:r>
        <w:t>4.2 可靠性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系统可用性（中心）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99.5%（年停机 ≤ 44 h）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边缘可用性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99.9%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数据不丢失（断网）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边缘缓存 ≥ 72 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故障恢复时间 RTO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30 min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数据恢复点 RPO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5 min</w:t>
            </w:r>
          </w:p>
        </w:tc>
      </w:tr>
    </w:tbl>
    <w:p>
      <w:pPr>
        <w:pStyle w:val="Heading3"/>
      </w:pPr>
      <w:r>
        <w:t>4.3 安全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等保等级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三级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传输加密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TLS 1.3（OT 侧按设备能力降级）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存储加密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敏感字段 AES-256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权限模型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RBAC + 数据行级权限（按装置/设备）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审计留存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≥ 1 年，不可篡改（WORM 或哈希链）</w:t>
            </w:r>
          </w:p>
        </w:tc>
      </w:tr>
    </w:tbl>
    <w:p>
      <w:pPr>
        <w:pStyle w:val="Heading3"/>
      </w:pPr>
      <w:r>
        <w:t>4.4 可维护性与可移植性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NFR-17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算法插件化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新增一个诊断算法 ≤ 2 人日（不改主干）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NFR-18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国产化适配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支持 ARM64 + 麒麟/统信；数据库可切达梦</w:t>
            </w:r>
          </w:p>
        </w:tc>
      </w:tr>
    </w:tbl>
    <w:p>
      <w:pPr>
        <w:pStyle w:val="Heading3"/>
      </w:pPr>
      <w:r>
        <w:t>4.5 易用性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ID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目标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NFR-19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新用户完成一次设备查询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≤ 3 分钟（无需培训）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NFR-20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报告可读性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非专业人员理解结论 ≥ 90%（用户测试）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5. 数据需求</w:t>
      </w:r>
    </w:p>
    <w:p>
      <w:pPr>
        <w:pStyle w:val="Heading3"/>
      </w:pPr>
      <w:r>
        <w:t>5.1 核心实体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实体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关键属性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Asset（设备）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asset_id, 名称, 型号, 位号, 装置, 关键度(A/B/C), 投运日期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统一命名空间根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Component（部件）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comp_id, asset_id, 类型(轴承/齿轮/联轴器/叶轮), 位置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故障模式挂载点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MeasurementPoint（测点）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mp_id, comp_id, 物理量(振动/温度/电流/转速), 方向(H/V/A), 采样率, 量程, 校准信息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数据最小单元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Series（时序）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mp_id, ts, value, quality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TDengine 超级表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Waveform（波形）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mp_id, ts_start, fs, samples(blob), trigger_reason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原始波形，留厂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FaultMode（故障模式）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fm_id, comp_type, 名称, 特征频率规则, 判据, 参考标准条款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知识库核心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Evidence（证据）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ev_id, 类型, 引用对象, 时间窗, 数值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结论的依据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Diagnosis（诊断）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diag_id, asset_id, 结论, 置信度, 证据链, 模型版本, 时间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一次诊断记录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Recommendation（方案卡）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rec_id, diag_id, 窗口, 备件, 人力, 成本, 状态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决策输出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Alert（告警）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alert_id, 等级, 规则, 责任人, 状态, 升级记录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通知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AuditLog（审计）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actor, action, target, before/after, ts, trace_id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合规</w:t>
            </w:r>
          </w:p>
        </w:tc>
      </w:tr>
    </w:tbl>
    <w:p>
      <w:pPr>
        <w:pStyle w:val="Heading3"/>
      </w:pPr>
      <w:r>
        <w:t>5.2 数据量估算（20 台设备）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数据类型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估算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特征值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 台 × 20 测点 × 1/min × 86400 × 365 ≈ 2.1 亿点/年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原始波形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20 台 × 4 通道 × 25.6 kHz × 1 s × 24 次/天 ≈ 200 GB/年（压缩后）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诊断记录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~5,000 条/年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方案卡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~600 张/年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6. 需求追踪矩阵（RTM，节选）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需求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设计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规格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测试用例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验收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TC-SIG-001~012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AC-01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FR-203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TC-HI-001~008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AC-02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FR-303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docs/04 §6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TC-RUL-005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AC-03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docs/05 §6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TC-NLU-001~020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AC-04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FR-403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docs/05 §7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TC-EVD-001~006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AC-05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docs/05 §8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TC-CNS-001~010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AC-06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FR-504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docs/05 §9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TC-ECO-001~005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AC-07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FR-701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docs/05 §10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TC-EDGE-001~008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AC-08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FR-803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docs/07 §6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specs/001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TC-SEC-001~020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AC-09</w:t>
            </w:r>
          </w:p>
        </w:tc>
      </w:tr>
    </w:tbl>
    <w:p>
      <w:pPr>
        <w:ind w:left="360"/>
      </w:pPr>
      <w:r>
        <w:rPr>
          <w:i/>
          <w:color w:val="4A5158"/>
        </w:rPr>
        <w:t>完整矩阵在 Ph1 由测试管理工具生成，本表只做骨架示意。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7. 假设与依赖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假设/依赖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影响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A1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关键设备已有或可加装振动测点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无测点则需先做硬件改造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PLC/SCADA 提供只读数据接口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否则需加装独立采集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A3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存在可用的历史故障记录（≥ 20 例）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否则模型只能靠规则+迁移学习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工厂有 EAM/CMMS 系统且开放 API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否则工单闭环降级为"导出 Excel"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设备专家可投入每周 ≥ 4 小时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否则故障模式库无法建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A6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网络允许 OT→IT 单向数据流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否则需部署数据闸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