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· 雅迪集团场景与多基地架构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用户提供的场景设定；TOGAF 阶段 B（业务架构）；ISO 55000 / GB/T 33172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v1.0（新增）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场景设定</w:t>
      </w:r>
    </w:p>
    <w:p>
      <w:pPr>
        <w:pStyle w:val="Heading3"/>
      </w:pPr>
      <w:r>
        <w:t>1.1 已知事实（来自委托方）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事实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应用主体为雅迪电动车集团公司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电动车销量持续第一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全球接近 20 个生产基地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需覆盖上下游供应商公司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需预留迁移到其他生产集团（如汽车制造）的能力</w:t>
            </w:r>
          </w:p>
        </w:tc>
      </w:tr>
    </w:tbl>
    <w:p>
      <w:pPr>
        <w:pStyle w:val="Heading3"/>
      </w:pPr>
      <w:r>
        <w:t>1.2 待确认事实（影响架构，需 G0 前回收）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待确认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为什么重要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假设值（若无答复按此设计）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个基地的国内外分布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决定数据主权分级与部署域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国内 12 + 海外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各基地设备数量与协议种类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决定边缘规格与接入工作量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单基地 300–800 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现有集团 IT 架构（SAP/Oracle/用友/金蝶/自研）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 Java 集成层工作量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SAP + 自研 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是否已有 EAM/CMMS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决定工单闭环方式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有，自研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供应商接入意愿与合同基础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决定供应商域边界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核心 Tier1 50–100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集团是否已有工业互联网平台/数据中台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决定是新建还是接入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有，需对接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海外基地网络质量与合规要求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决定边缘自治强度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海外弱网，需强自治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是否已有 OT 资产清单与点位表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决定数据底座工作量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部分，需现场勘查</w:t>
            </w:r>
          </w:p>
        </w:tc>
      </w:tr>
    </w:tbl>
    <w:p>
      <w:pPr>
        <w:ind w:left="360"/>
      </w:pPr>
      <w:r>
        <w:rPr>
          <w:i/>
          <w:color w:val="4A5158"/>
        </w:rPr>
        <w:t>纪律：C1–C8 没有回收之前，任何"工期承诺"都是编的。 这份表在 G0 发出，限期回收。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组织与租户模型</w:t>
      </w:r>
    </w:p>
    <w:p>
      <w:pPr>
        <w:pStyle w:val="Heading3"/>
      </w:pPr>
      <w:r>
        <w:t>2.1 组织树（多租户基础）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雅迪集团（tenant root）</w:t>
        <w:br/>
        <w:t>├─ 基地 A（tenant: site-a）┐</w:t>
        <w:br/>
        <w:t>│   ├─ 车架冲焊车间          │ 一级域：厂内</w:t>
        <w:br/>
        <w:t>│   │   ├─ 产线 L1</w:t>
        <w:br/>
        <w:t>│   │   │   └─ 工位 ST01 → 设备 → 部件 → 测点</w:t>
        <w:br/>
        <w:t>│   │   └─ 产线 L2</w:t>
        <w:br/>
        <w:t>│   ├─ 烤漆车间</w:t>
        <w:br/>
        <w:t>│   ├─ 注塑车间</w:t>
        <w:br/>
        <w:t>│   ├─ 电机制造车间</w:t>
        <w:br/>
        <w:t>│   └─ 总装车间</w:t>
        <w:br/>
        <w:t>├─ 基地 B（tenant: site-b）</w:t>
        <w:br/>
        <w:t>├─ ... ×20</w:t>
        <w:br/>
        <w:t>└─ 供应商域（tenant: supplier-xxx）┐</w:t>
        <w:br/>
        <w:t xml:space="preserve">    ├─ Tier1 轮胎                    │ 二级域：跨组织</w:t>
        <w:br/>
        <w:t xml:space="preserve">    ├─ Tier1 电机                    │ 只读 + 上报，权限最小</w:t>
        <w:br/>
        <w:t xml:space="preserve">    └─ Tier1 电池                    │</w:t>
      </w:r>
    </w:p>
    <w:p>
      <w:pPr>
        <w:pStyle w:val="Heading3"/>
      </w:pPr>
      <w:r>
        <w:t>2.2 三类租户的能力差异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集团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基地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跨基地对标分析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本基地全域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本车间数据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本厂设备健康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✅（仅自己的）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诊断问答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✅（仅自己的）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方案卡确认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工单创建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数据上报（质量/设备状态）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故障模式库查看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脱敏版</w:t>
            </w:r>
          </w:p>
        </w:tc>
      </w:tr>
    </w:tbl>
    <w:p>
      <w:pPr>
        <w:pStyle w:val="Heading3"/>
      </w:pPr>
      <w:r>
        <w:t>2.3 租户隔离的四个层面（缺一即破）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身份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OIDC + tenant claim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tenant_id 写入 JWT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网关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字段级 + 行级权限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directive + 服务端 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PostgreSQL RLS + 分区键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tenant_id 强制，连接池强制 SET LOCAL app.tenant；TiDB 读模型无 RLS，用 TenantQueryBuilder + 断言补偿（docs/17 §5）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消息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tenant/namespace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tenant/site-a/*，生产需 authorization 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集群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Namespace + NetworkPolicy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pdm-site-a 或统一 pdm-prod + 标签隔离</w:t>
            </w:r>
          </w:p>
        </w:tc>
      </w:tr>
    </w:tbl>
    <w:p>
      <w:pPr>
        <w:ind w:left="360"/>
      </w:pPr>
      <w:r>
        <w:rPr>
          <w:i/>
          <w:color w:val="4A5158"/>
        </w:rPr>
        <w:t>Pulsar 的 tenant/namespace 模型天然匹配多基地场景，这是选择它而不是 Kafka 的决定性理由之一（详见 docs/16 §4）。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电动车制造设备域（Sub-Domain）</w:t>
      </w:r>
    </w:p>
    <w:p>
      <w:pPr>
        <w:pStyle w:val="Heading3"/>
      </w:pPr>
      <w:r>
        <w:t>3.1 工艺链与关键设备</w:t>
      </w:r>
    </w:p>
    <w:p>
      <w:r>
        <w:rPr>
          <w:b w:val="0"/>
        </w:rPr>
        <w:t>电动车两轮制造的典型工艺链，以及各环节的预测性维护价值点：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工序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关键设备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主要故障模式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维护代价特征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车架冲压/焊装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冲压机、点焊机器人、弧焊机器人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焊钳磨损、减速机齿轮断齿、伺服电机轴承、焊臂变形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停线即停产，损失线性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烤漆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喷涂机器人、烤漆炉、风机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机器人齿轮箱、风机动不平衡、炉温风机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环保风险高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注塑/塑料件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注塑机、机械手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液压系统泄漏、螺杆磨损、射台轴承、哥林柱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换模损失大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电机制造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绕线机、嵌线机、转子压装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主轴轴承、伺服电机、气动元件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精度下降→质量事故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控制器/SMT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贴片机、回流焊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贴片头磨损、伺服轴、风机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高价值设备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电池 PACK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点焊机、激光焊、检测设备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焊头、激光器、传送机构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安全关键（热失控）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总装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AGV/输送链、拧紧工具、压装机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输送电机、拧紧枪、升降机构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直接影响节拍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整车下线检测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胎压/制动/灯光检测台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传感器、执行机构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交付节点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P2</w:t>
            </w:r>
          </w:p>
        </w:tc>
      </w:tr>
    </w:tbl>
    <w:p>
      <w:pPr>
        <w:pStyle w:val="Heading3"/>
      </w:pPr>
      <w:r>
        <w:t>3.2 与通用旋转机械的差异（决定算法不能照搬）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差异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对方案的影响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变速工况多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输送链、AGV、变频风机频繁启停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阶次分析（order tracking）必须是标配，固定频率 FFT 不够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重载冲击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冲压、压装的瞬态冲击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需要触发式波形（阈值/事件触发），不能只靠定时采样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大量伺服系统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谐波丰富，电磁噪声大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排除条件库要扩充伺服特征，否则误报率高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产线节拍敏感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停机必须排产确认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方案卡的"窗口协商"必须与 MES 深度集成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追溯要求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部分件需追溯拧紧工艺数据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事件溯源天然契合（这是汽车行业迁移的关键能力）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大量气动元件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换向阀、气缸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非旋转部件，需声音/压力/流量特征</w:t>
            </w:r>
          </w:p>
        </w:tc>
      </w:tr>
    </w:tbl>
    <w:p>
      <w:pPr>
        <w:ind w:left="360"/>
      </w:pPr>
      <w:r>
        <w:rPr>
          <w:i/>
          <w:color w:val="4A5158"/>
        </w:rPr>
        <w:t>这一节是"预留迁移到汽车"的技术根基：总装拧紧追溯、IATF 16949 的过程控制，本质上就是"带时间戳的设备事件链"。我们用事件溯源做诊断证据链，同一套基础设施可以直接支撑质量追溯。</w:t>
      </w:r>
    </w:p>
    <w:p>
      <w:pPr>
        <w:pStyle w:val="Heading3"/>
      </w:pPr>
      <w:r>
        <w:t>3.3 关键设备分级（借鉴 ISO 55000 / GB/T 33172）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关键度 A（致命）：停线即停产，或涉安全/环保</w:t>
        <w:br/>
        <w:t>关键度 B（重大）：降产能或质量风险</w:t>
        <w:br/>
        <w:t>关键度 C（一般）：冗余或可离线</w:t>
        <w:br/>
        <w:br/>
        <w:t>分级输入：停产损失/小时、是否瓶颈工序、是否有冗余、安全影响、更换周期</w:t>
        <w:br/>
        <w:t>分级结果驱动：会诊优先级、告警 SLA、监测密度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三大业务场景（价值分级）</w:t>
      </w:r>
    </w:p>
    <w:p>
      <w:pPr>
        <w:pStyle w:val="Heading3"/>
      </w:pPr>
      <w:r>
        <w:t>场景 1（P0）总装线节拍保障：不停线就是最大收益</w:t>
      </w:r>
    </w:p>
    <w:p>
      <w:pPr>
        <w:pStyle w:val="ListBullet"/>
        <w:ind w:left="360"/>
      </w:pPr>
      <w:r>
        <w:rPr>
          <w:b/>
        </w:rPr>
        <w:t>问题</w:t>
      </w:r>
      <w:r>
        <w:rPr>
          <w:b w:val="0"/>
        </w:rPr>
        <w:t>：总装线 AGV/输送/拧紧设备故障，直接停线，节拍损失按分钟算。</w:t>
      </w:r>
    </w:p>
    <w:p>
      <w:pPr>
        <w:pStyle w:val="ListBullet"/>
        <w:ind w:left="360"/>
      </w:pPr>
      <w:r>
        <w:rPr>
          <w:b/>
        </w:rPr>
        <w:t>方案</w:t>
      </w:r>
      <w:r>
        <w:rPr>
          <w:b w:val="0"/>
        </w:rPr>
        <w:t>：输送电机 + 拧紧工具 + AGV 驱动轮的状态监测，异常前 5–14 天给窗口。</w:t>
      </w:r>
    </w:p>
    <w:p>
      <w:pPr>
        <w:pStyle w:val="ListBullet"/>
        <w:ind w:left="360"/>
      </w:pPr>
      <w:r>
        <w:rPr>
          <w:b/>
        </w:rPr>
        <w:t>价值度量</w:t>
      </w:r>
      <w:r>
        <w:rPr>
          <w:b w:val="0"/>
        </w:rPr>
        <w:t>：非计划停线次数、停线时长、节拍达成率。</w:t>
      </w:r>
    </w:p>
    <w:p>
      <w:pPr>
        <w:pStyle w:val="Heading3"/>
      </w:pPr>
      <w:r>
        <w:t>场景 2（P0）核心设备综合成本最优：让"现在修"和"再等等"可算</w:t>
      </w:r>
    </w:p>
    <w:p>
      <w:pPr>
        <w:pStyle w:val="ListBullet"/>
        <w:ind w:left="360"/>
      </w:pPr>
      <w:r>
        <w:rPr>
          <w:b/>
        </w:rPr>
        <w:t>问题</w:t>
      </w:r>
      <w:r>
        <w:rPr>
          <w:b w:val="0"/>
        </w:rPr>
        <w:t>：注塑机液压、烤漆风机、冲压机等大型设备，修不修、何时修是经营决策。</w:t>
      </w:r>
    </w:p>
    <w:p>
      <w:pPr>
        <w:pStyle w:val="ListBullet"/>
        <w:ind w:left="360"/>
      </w:pPr>
      <w:r>
        <w:rPr>
          <w:b/>
        </w:rPr>
        <w:t>方案</w:t>
      </w:r>
      <w:r>
        <w:rPr>
          <w:b w:val="0"/>
        </w:rPr>
        <w:t>：完整决策会诊 + 方案卡，含排产冲突、备件到货、人力、经济性。</w:t>
      </w:r>
    </w:p>
    <w:p>
      <w:pPr>
        <w:pStyle w:val="ListBullet"/>
        <w:ind w:left="360"/>
      </w:pPr>
      <w:r>
        <w:rPr>
          <w:b/>
        </w:rPr>
        <w:t>价值度量</w:t>
      </w:r>
      <w:r>
        <w:rPr>
          <w:b w:val="0"/>
        </w:rPr>
        <w:t>：非计划停机时长下降、备件呆滞率下降、MTTR 下降。</w:t>
      </w:r>
    </w:p>
    <w:p>
      <w:pPr>
        <w:pStyle w:val="Heading3"/>
      </w:pPr>
      <w:r>
        <w:t>场景 3（P1）供应商质量联动：从"管自己的设备"到"管供应链"</w:t>
      </w:r>
    </w:p>
    <w:p>
      <w:pPr>
        <w:pStyle w:val="ListBullet"/>
        <w:ind w:left="360"/>
      </w:pPr>
      <w:r>
        <w:rPr>
          <w:b/>
        </w:rPr>
        <w:t>问题</w:t>
      </w:r>
      <w:r>
        <w:rPr>
          <w:b w:val="0"/>
        </w:rPr>
        <w:t>：供应商来料质量波动，通常要等到整车下线检测才发现，追溯成本极高。</w:t>
      </w:r>
    </w:p>
    <w:p>
      <w:pPr>
        <w:pStyle w:val="ListBullet"/>
        <w:ind w:left="360"/>
      </w:pPr>
      <w:r>
        <w:rPr>
          <w:b/>
        </w:rPr>
        <w:t>方案</w:t>
      </w:r>
      <w:r>
        <w:rPr>
          <w:b w:val="0"/>
        </w:rPr>
        <w:t>：供应商设备状态 + 关键工艺数据上报，集团侧做"来料质量 vs 供应商设备健康"关联分析；供应商健康看板驱动其自己做维护。</w:t>
      </w:r>
    </w:p>
    <w:p>
      <w:pPr>
        <w:pStyle w:val="ListBullet"/>
        <w:ind w:left="360"/>
      </w:pPr>
      <w:r>
        <w:rPr>
          <w:b/>
        </w:rPr>
        <w:t>价值度量</w:t>
      </w:r>
      <w:r>
        <w:rPr>
          <w:b w:val="0"/>
        </w:rPr>
        <w:t>：来料不良率、质量追溯时间、供应商整改闭环率。</w:t>
      </w:r>
    </w:p>
    <w:p>
      <w:pPr>
        <w:pStyle w:val="Heading3"/>
      </w:pPr>
      <w:r>
        <w:t>场景 4（P1）集团对标：20 个基地用一套尺子</w:t>
      </w:r>
    </w:p>
    <w:p>
      <w:pPr>
        <w:pStyle w:val="ListBullet"/>
        <w:ind w:left="360"/>
      </w:pPr>
      <w:r>
        <w:rPr>
          <w:b/>
        </w:rPr>
        <w:t>问题</w:t>
      </w:r>
      <w:r>
        <w:rPr>
          <w:b w:val="0"/>
        </w:rPr>
        <w:t>：同型号注塑机在不同基地，MTBF 差 3 倍，没人说得清是设备问题还是维护问题。</w:t>
      </w:r>
    </w:p>
    <w:p>
      <w:pPr>
        <w:pStyle w:val="ListBullet"/>
        <w:ind w:left="360"/>
      </w:pPr>
      <w:r>
        <w:rPr>
          <w:b/>
        </w:rPr>
        <w:t>方案</w:t>
      </w:r>
      <w:r>
        <w:rPr>
          <w:b w:val="0"/>
        </w:rPr>
        <w:t>：统一命名空间 + 统一判据 + 统一 HI 口径 → 集团级对标看板。</w:t>
      </w:r>
    </w:p>
    <w:p>
      <w:pPr>
        <w:pStyle w:val="ListBullet"/>
        <w:ind w:left="360"/>
      </w:pPr>
      <w:r>
        <w:rPr>
          <w:b/>
        </w:rPr>
        <w:t>价值度量</w:t>
      </w:r>
      <w:r>
        <w:rPr>
          <w:b w:val="0"/>
        </w:rPr>
        <w:t>：基地间指标差异收敛度、最佳实践复制数量。</w:t>
      </w:r>
    </w:p>
    <w:p>
      <w:pPr>
        <w:ind w:left="360"/>
      </w:pPr>
      <w:r>
        <w:rPr>
          <w:i/>
          <w:color w:val="4A5158"/>
        </w:rPr>
        <w:t>场景 4 是集团客户买单的核心动力，也是对单体 PdM 产品的降维打击点。它要求"同型号设备的判据一致"，这就是为什么 docs/04 里反复强调判据库必须集中受控。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部署拓扑：联邦而非集中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集团中心集群（10.167.2.175/176，K8s 1.28.2，Rancher 管理）      │</w:t>
        <w:br/>
        <w:t>│  · 集团看板 / 跨基地对标（TiDB + TiFlash 读模型）               │</w:t>
        <w:br/>
        <w:t>│  · 判据库 / 故障模式库 / 技能库（受控资产，全集团唯一）           │</w:t>
        <w:br/>
        <w:t>│  · 模型训练与评测 / LLM 网关（LiteLLM + Milvus）                 │</w:t>
        <w:br/>
        <w:t>│  · Fleet GitOps 控制面（管理全部边缘）                          │</w:t>
        <w:br/>
        <w:t>└───────────────┬──────────────────────────────────────────────┘</w:t>
        <w:br/>
        <w:t xml:space="preserve">                │ Pulsar（受控上行，仅特征值/事件/方案卡）</w:t>
        <w:br/>
        <w:t xml:space="preserve">                │ 断网时边缘自治，恢复后补传</w:t>
        <w:br/>
        <w:t xml:space="preserve">   ┌────────────┼────────────┬─────────────┐</w:t>
        <w:br/>
        <w:t xml:space="preserve">   ▼            ▼            ▼             ▼</w:t>
        <w:br/>
        <w:t>┌────────┐  ┌────────┐   ┌────────┐    ┌────────┐</w:t>
        <w:br/>
        <w:t>│基地A边缘│  │基地B边缘│  ...   │基地C边缘│    │海外基地│</w:t>
        <w:br/>
        <w:t>│K3s     │  │K3s     │        │K3s     │    │K3s    │</w:t>
        <w:br/>
        <w:t>│·Rust采集│ ·Rust采集│        │·Rust采集│    │·Rust采集│</w:t>
        <w:br/>
        <w:t>│·本地DSP│ ·本地DSP │        │·本地DSP │    │·本地DSP│</w:t>
        <w:br/>
        <w:t>│·本地诊断│ ·本地诊断│        │·本地诊断│    │·本地诊断│</w:t>
        <w:br/>
        <w:t>│·告警  │ ·告警   │        │·告警   │    │·告警  │</w:t>
        <w:br/>
        <w:t>│·72h缓存│ ·72h缓存│        │·72h缓存│    │·168h缓存│</w:t>
        <w:br/>
        <w:t>└────┬───┘  └────┬───┘        └────┬───┘    └────┬───┘</w:t>
        <w:br/>
        <w:t xml:space="preserve">     │           │                │             │</w:t>
        <w:br/>
        <w:t xml:space="preserve">     ▼           ▼                ▼             ▼</w:t>
        <w:br/>
        <w:t xml:space="preserve">  PLC/传感器  PLC/传感器      PLC/传感器     PLC/传感器</w:t>
        <w:br/>
        <w:t xml:space="preserve">                                     （海外：本地无集团服务，</w:t>
        <w:br/>
        <w:t xml:space="preserve">                                       断网可独立运行数月）</w:t>
      </w:r>
    </w:p>
    <w:p>
      <w:pPr>
        <w:pStyle w:val="Heading3"/>
      </w:pPr>
      <w:r>
        <w:t>5.1 三条铁律</w:t>
      </w:r>
    </w:p>
    <w:p>
      <w:pPr>
        <w:pStyle w:val="ListNumber"/>
        <w:ind w:left="360"/>
      </w:pPr>
      <w:r>
        <w:rPr>
          <w:b/>
        </w:rPr>
        <w:t>判据只在集团，数据只在基地。</w:t>
      </w:r>
      <w:r>
        <w:rPr>
          <w:b w:val="0"/>
        </w:rPr>
        <w:t xml:space="preserve"> 判据库是全集团唯一真相源（保证对标可比性）；原始数据不出基地。</w:t>
      </w:r>
    </w:p>
    <w:p>
      <w:pPr>
        <w:pStyle w:val="ListNumber"/>
        <w:ind w:left="360"/>
      </w:pPr>
      <w:r>
        <w:rPr>
          <w:b/>
        </w:rPr>
        <w:t>上行是"受控摘要"，不是"原始流"。</w:t>
      </w:r>
      <w:r>
        <w:rPr>
          <w:b w:val="0"/>
        </w:rPr>
        <w:t xml:space="preserve"> 上行的只有特征值、事件、诊断结论、方案卡。</w:t>
      </w:r>
    </w:p>
    <w:p>
      <w:pPr>
        <w:pStyle w:val="ListNumber"/>
        <w:ind w:left="360"/>
      </w:pPr>
      <w:r>
        <w:rPr>
          <w:b/>
        </w:rPr>
        <w:t>边缘永远能独立闭环。</w:t>
      </w:r>
      <w:r>
        <w:rPr>
          <w:b w:val="0"/>
        </w:rPr>
        <w:t xml:space="preserve"> 中心不可用时，采集→诊断→告警→本地报告仍可用，只是没有跨基地对标。</w:t>
      </w:r>
    </w:p>
    <w:p>
      <w:pPr>
        <w:pStyle w:val="Heading3"/>
      </w:pPr>
      <w:r>
        <w:t>5.2 供应商域（轻量接入）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供应商侧（最轻，尽量零部署）：</w:t>
        <w:br/>
        <w:t xml:space="preserve">  选项 A：供应商已有网关 → 通过受控 API 上报（推荐）</w:t>
        <w:br/>
        <w:t xml:space="preserve">  选项 B：被授予只读看板 → 集团侧 SaaS 化视图</w:t>
        <w:br/>
        <w:t xml:space="preserve">  选项 C：下发边缘小包 → 仅对 Tier1 且数据量大的供应商</w:t>
        <w:br/>
        <w:br/>
        <w:t>禁止：供应商直连集团集群内网。</w:t>
      </w:r>
    </w:p>
    <w:p>
      <w:pPr>
        <w:pStyle w:val="Heading3"/>
      </w:pPr>
      <w:r>
        <w:t>5.3 数据主权与跨境分级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数据级别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境内基地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海外基地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 原始波形 / 原始报文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含工艺细节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留基地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强制留基地（本地）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 设备台账 / 故障记录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敏感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可上行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留基地，仅汇总上行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 诊断结论 / 特征值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可上行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脱敏后可上行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 统计指标 / 对标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可共享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可上行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可上行</w:t>
            </w:r>
          </w:p>
        </w:tc>
      </w:tr>
    </w:tbl>
    <w:p>
      <w:r>
        <w:rPr>
          <w:b/>
        </w:rPr>
        <w:t>海外特别要求</w:t>
      </w:r>
      <w:r>
        <w:rPr>
          <w:b w:val="0"/>
        </w:rPr>
        <w:t>（需法务确认当地法规，如 GDPR、越南 PDPD 等）：本地处理、最短留存、可删除、可导出。设计上通过"本地自治 + 脱敏上行"满足。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需求附录（对 docs/02 的增补，保持 RTM 连续）</w:t>
      </w:r>
    </w:p>
    <w:p>
      <w:pPr>
        <w:pStyle w:val="Heading3"/>
      </w:pPr>
      <w:r>
        <w:t>6.1 多组织与多基地需求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系统应支持多租户，租户标识为 tenant_id，贯穿身份、数据、消息三层。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系统应支持组织树（集团/基地/车间/产线/工位），权限按节点继承。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同一型号设备在不同基地应采用同一套判据（由集团统一发布），不得基地私自修改。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当集团发布新判据版本时，各基地应在 24 小时内生效，并可查看生效记录。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系统应提供跨基地对标看板，支持按设备型号、工序、关键度分组。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系统应支持供应商租户，仅可见自身设备，且只能查看脱敏后的故障模式库。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当供应商上报质量或设备异常时，系统应关联至对应来料批次并通知 SQE。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若基地与集团失联超过阈值，基地应继续本地运行，并在恢复后补传且不产生重复告警。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系统应按数据主权分级控制上行内容，海外基地 L1/L2 数据不得出基地。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</w:tbl>
    <w:p>
      <w:pPr>
        <w:pStyle w:val="Heading3"/>
      </w:pPr>
      <w:r>
        <w:t>6.2 规模化与性能需求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NFR-201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单集群应支持 ≥ 20 个基地、≥ 5000 台设备的接入。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规模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NFR-202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系统应支持水平扩展，新增基地不应改造已有基地。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NFR-203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当新增基地接入时，应有标准化的接入 SOP 与自动化向导。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NFR-204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跨基地对标查询 P95 ≤ 10 s。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NFR-205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系统应支持按基地灰度发布，单个基地失败不影响其他基地。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发布</w:t>
            </w:r>
          </w:p>
        </w:tc>
      </w:tr>
    </w:tbl>
    <w:p>
      <w:pPr>
        <w:pStyle w:val="Heading3"/>
      </w:pPr>
      <w:r>
        <w:t>6.3 行业可迁移性需求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系统应以"行业包"方式组织工艺域知识，行业包通过 SPI 插件化接入，不改核心代码。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电动车行业包应包含电动车制造专属故障模式库与判据。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汽车行业包应额外支持拧紧工艺数据追溯与 IATF 16949 相关过程能力要求。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Should（预留）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FR-913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切换行业包时，数据模型、判据库、报告模板应成套切换。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</w:t>
            </w:r>
          </w:p>
        </w:tc>
      </w:tr>
    </w:tbl>
    <w:p>
      <w:pPr>
        <w:ind w:left="360"/>
      </w:pPr>
      <w:r>
        <w:rPr>
          <w:i/>
          <w:color w:val="4A5158"/>
        </w:rPr>
        <w:t>对接说明：以上需求编号 FR-9xx / NFR-2xx 已避开 docs/02 既有编号，RTM 追加时不要重排既有 ID。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雅迪 case 的验收补充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补充项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判定标准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跨基地一致性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同一型号设备在 2 个基地的 HI 口径一致（差异仅来自真实劣化）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供应商接入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家 Tier1 供应商完成受控上报，数据隔离正确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断网自治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模拟海外基地断网 7 天，本地业务不中断，恢复后补传完整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判据发布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集团发布新判据，20 个基地 24 小时内全部生效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行业包切换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切换行业包后，数据模型/判据/模板成套切换，无残留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组织权限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供应商账号越权访问集团数据的测试 100% 失败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经济模型修正（对 docs/01 的补充）</w:t>
      </w:r>
    </w:p>
    <w:p>
      <w:r>
        <w:rPr>
          <w:b w:val="0"/>
        </w:rPr>
        <w:t>单厂模型不适用于集团客户，需改为"三级摊薄"：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一次投入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边际成本/基地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平台与判据库（集团）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高（¥180 万）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集团一次性，全集团共享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单基地接入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中（¥25 万）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边缘 + 采集 + 培训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单设备监测点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低（¥0.15 万/点）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传感器 + 改造</w:t>
            </w:r>
          </w:p>
        </w:tc>
      </w:tr>
    </w:tbl>
    <w:p>
      <w:r>
        <w:rPr>
          <w:b/>
        </w:rPr>
        <w:t>集团级 ROI 结论</w:t>
      </w:r>
      <w:r>
        <w:rPr>
          <w:b w:val="0"/>
        </w:rPr>
        <w:t>：20 基地全部接入时，总投入约 ¥180 + 20×25 = ¥680 万；年化收益按单基地 ¥185 万 × 20 × 0.8（折损）= ¥2,960 万。</w:t>
      </w:r>
      <w:r>
        <w:rPr>
          <w:b/>
        </w:rPr>
        <w:t>回收期约 3.4 个月</w:t>
      </w:r>
      <w:r>
        <w:rPr>
          <w:b w:val="0"/>
        </w:rPr>
        <w:t>，明显优于单厂模型。</w:t>
      </w:r>
    </w:p>
    <w:p>
      <w:pPr>
        <w:ind w:left="360"/>
      </w:pPr>
      <w:r>
        <w:rPr>
          <w:i/>
          <w:color w:val="4A5158"/>
        </w:rPr>
        <w:t>这也解释了雅迪为什么值得做：平台的一次性投入被 20 个基地摊薄，这是集团客户的核心商业逻辑。做单体项目的公司理解不了这一点，也就拿不到集团单。</w:t>
      </w:r>
    </w:p>
    <w:p>
      <w:r>
        <w:rPr>
          <w:b w:val="0"/>
        </w:rP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