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谛听 PdM · 实施工程（impl）</w:t>
      </w:r>
    </w:p>
    <w:p>
      <w:pPr>
        <w:ind w:left="360"/>
      </w:pPr>
      <w:r>
        <w:rPr>
          <w:i/>
          <w:color w:val="4A5158"/>
        </w:rPr>
        <w:t>决策基线：见上级目录 DECISIONS.md（D1–D25 已确认） 当前阶段：Ph1 垂直切片（可运行、可测试、可部署，尚未接真实设备）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现在有什么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信号处理核心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packages/pdm_signal/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可用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时域/频域/包络/轴承特征频率/HI，纯函数，44 项测试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诊断服务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services/python-diagnosis/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可跑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Litestar + Granian + msgspec，/v1/diagnose，多租户守卫，多级缓存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db/tidb/001_schema.sql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可用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TiDB 8.5 语法，tenant_id 打头，Outbox + 审计链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隔离规范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db/tidb/TENANT_ISOLATION.md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生效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五层防线 + TenantQueryBuilder 参考实现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跨语言契约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contracts/proto/pdm.proto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可用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资产/监测/诊断/预后/决策/事件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部署清单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deploy/k8s/pdm-prod.yaml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可 apply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命名空间/配额/网络策略/Deployment/Ingress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CI 门禁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.github/workflows/ci.yml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可用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测试+覆盖率+SAST+密钥扫描+清单校验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压测工具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tools/bench.py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可用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吞吐/P50/P95/P99，用于性能门禁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文档导出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tools/md_export.py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可用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全部 Markdown → Word + PDF（30 源文件 → 60 文件）</w:t>
            </w:r>
          </w:p>
        </w:tc>
      </w:tr>
    </w:tbl>
    <w:p>
      <w:r>
        <w:rPr>
          <w:b/>
        </w:rPr>
        <w:t>尚未实现</w:t>
      </w:r>
      <w:r>
        <w:rPr>
          <w:b w:val="0"/>
        </w:rPr>
        <w:t>（按 Ph1–Ph4 排期）：Rust 采集与 DSP、Go 事件管线与 GraphQL BFF、Java 资产/知识/集成、TDengine 写入、Pulsar 投递、决策会诊、方案卡、采购护栏。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1.1 技术栈（性能优先）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选型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相对原方案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Web 框架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Litestar 2.25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替代 FastAPI，链路更薄、msgspec 原生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ASGI 服务器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Granian 2.x（Rust/Hyper）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替代 uvicorn，实测 +21.5% 吞吐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序列化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msgspec 0.22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替代 pydantic，Rust 侧编解码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L1 TTL(30s) + L2 Redis(120s)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新增，压测命中率 99.94%</w:t>
            </w:r>
          </w:p>
        </w:tc>
      </w:tr>
    </w:tbl>
    <w:p>
      <w:r>
        <w:rPr>
          <w:b w:val="0"/>
        </w:rPr>
        <w:t>实测（Windows 开发机，2 workers，1500 请求 / 并发 40，缓存命中路径）：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服务器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吞吐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Granian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717 req/s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158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uvicorn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590 req/s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185 ms</w:t>
            </w:r>
          </w:p>
        </w:tc>
      </w:tr>
    </w:tbl>
    <w:p>
      <w:pPr>
        <w:ind w:left="360"/>
      </w:pPr>
      <w:r>
        <w:rPr>
          <w:i/>
          <w:color w:val="4A5158"/>
        </w:rPr>
        <w:t>数据仅用于证明选型方向，生产指标以 docs/08 的性能测试为准。详见 docs/19。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5 分钟跑起来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br/>
        <w:t># 1) 环境</w:t>
        <w:br/>
        <w:t>python -m venv .venv</w:t>
        <w:br/>
        <w:t>.venv/Scripts/python.exe -m pip install -r services/python-diagnosis/requirements.txt   # Windows</w:t>
        <w:br/>
        <w:t># .venv/bin/python -m pip install -r services/python-diagnosis/requirements.txt         # Linux/macOS</w:t>
        <w:br/>
        <w:br/>
        <w:t># 2) 测试（应全部通过）</w:t>
        <w:br/>
        <w:t>make test</w:t>
        <w:br/>
        <w:br/>
        <w:t># 3) 启动</w:t>
        <w:br/>
        <w:t>make run</w:t>
        <w:br/>
        <w:t># 浏览器打开 http://127.0.0.1:8000/docs</w:t>
      </w:r>
    </w:p>
    <w:p>
      <w:r>
        <w:rPr>
          <w:b w:val="0"/>
        </w:rPr>
        <w:t>冒烟请求：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curl -X POST http://127.0.0.1:8000/v1/diagnose \</w:t>
        <w:br/>
        <w:t xml:space="preserve">  -H "Content-Type: application/json" \</w:t>
        <w:br/>
        <w:t xml:space="preserve">  -H "X-Tenant-Id: site-a" \</w:t>
        <w:br/>
        <w:t xml:space="preserve">  -d '{</w:t>
        <w:br/>
        <w:t xml:space="preserve">    "tenant_id": "site-a",</w:t>
        <w:br/>
        <w:t xml:space="preserve">    "asset_id": "KA-101",</w:t>
        <w:br/>
        <w:t xml:space="preserve">    "metrics": {</w:t>
        <w:br/>
        <w:t xml:space="preserve">      "vib_rms_mm_s": 4.0,</w:t>
        <w:br/>
        <w:t xml:space="preserve">      "vib_baseline_mm_s": 2.0,</w:t>
        <w:br/>
        <w:t xml:space="preserve">      "kurtosis": 6.5,</w:t>
        <w:br/>
        <w:t xml:space="preserve">      "temp_c": 68,</w:t>
        <w:br/>
        <w:t xml:space="preserve">      "temp_baseline_c": 55,</w:t>
        <w:br/>
        <w:t xml:space="preserve">      "trend_pct_per_day": 1.2</w:t>
        <w:br/>
        <w:t xml:space="preserve">    }</w:t>
        <w:br/>
        <w:t xml:space="preserve">  }'</w:t>
      </w:r>
    </w:p>
    <w:p>
      <w:r>
        <w:rPr>
          <w:b w:val="0"/>
        </w:rPr>
        <w:t>实测返回（已验证）：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"hi": 54.94,</w:t>
        <w:br/>
        <w:t xml:space="preserve">  "level": "orange",</w:t>
        <w:br/>
        <w:t xml:space="preserve">  "sla_hours": 72,</w:t>
        <w:br/>
        <w:t xml:space="preserve">  "degraded": true,</w:t>
        <w:br/>
        <w:t xml:space="preserve">  "degraded_reason": "缺少维度: curr；已按剩余权重重归一，置信度下调",</w:t>
        <w:br/>
        <w:t xml:space="preserve">  "contributions": [</w:t>
        <w:br/>
        <w:t xml:space="preserve">    {"name": "vib",  "s": 0.5,   "impact": 20.59, "evidence": "振动RMS 4.0 mm/s（相对基线 2.0 mm/s）"},</w:t>
        <w:br/>
        <w:t xml:space="preserve">    {"name": "imp",  "s": 0.625, "impact": 14.71, "evidence": "峭度 6.5（&gt;4 可疑）"},</w:t>
        <w:br/>
        <w:t xml:space="preserve">    {"name": "temp", "s": 0.867, "impact": 15.29, "evidence": "温升 13.0℃（15℃ 视为致命）"},</w:t>
        <w:br/>
        <w:t xml:space="preserve">    {"name": "trend","s": 0.24,  "impact": 4.24,  "evidence": "劣化速率 1.2%/天（5%/天 视为致命）"}</w:t>
        <w:br/>
        <w:t xml:space="preserve">  ],</w:t>
        <w:br/>
        <w:t xml:space="preserve">  "disclaimer": "本结论由 AI 辅助生成……不构成维修指令……"</w:t>
        <w:br/>
        <w:t>}</w:t>
      </w:r>
    </w:p>
    <w:p>
      <w:pPr>
        <w:ind w:left="360"/>
      </w:pPr>
      <w:r>
        <w:rPr>
          <w:i/>
          <w:color w:val="4A5158"/>
        </w:rPr>
        <w:t>注意 degraded: true：只给了 4 个维度，缺 curr。系统不会假装完整，这是 P3 原则的落地。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关键设计决策（为什么这么写）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代码位置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HI 用乘积不用加权和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health.py:compute_hi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单维度致命必须归零；乘积避免多维度重复扣分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维度缺失要降级，不静默补零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health.py + main.py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缺数据说"缺数据"，不能说"正常"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轴承诊断要求 ≥2 阶谐波 + SNR≥3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bearing.py:is_suspicious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单峰是噪声，不是故障；这是误报率的第一道闸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用中位数/MAD 而非均值/标准差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signal.py:robust_baseline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工业数据非高斯、有离群点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租户 header 与 body 必须一致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main.py:diagnose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防参数篡改；这是 L2 防线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免责声明不可关闭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main.py:DISCLAIMER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合规（GB/T 45654）+ 责任边界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证据与结论同返回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main.py:evidence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无证据的结论不得输出（宪法第三条）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已知限制（不要误以为能上线）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限制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解除条件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无数据库读写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每次请求独立计算，不落库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接入 TiDB（需 I2 账号）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 TDengine 写入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时序数据只能靠请求体传入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 TDengine + 采集链路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 Pulsar 投递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不产生领域事件，下游收不到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 tenant 权限（I1）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轴承几何需人工填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无法自动从台账取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接入资产上下文（Java）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未做鉴权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只校验 header 一致性，未验签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接 OIDC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单语言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Rust/Go/Java 尚未实现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 Ph1–Ph3 排期</w:t>
            </w:r>
          </w:p>
        </w:tc>
      </w:tr>
    </w:tbl>
    <w:p>
      <w:r>
        <w:rPr>
          <w:b/>
        </w:rPr>
        <w:t>当前是"可验证的算法内核"，不是"可交付的系统"。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下一步（Ph1 剩余工作）</w:t>
      </w:r>
    </w:p>
    <w:p>
      <w:r>
        <w:rPr>
          <w:b w:val="0"/>
        </w:rPr>
        <w:t>按依赖顺序：</w:t>
      </w:r>
    </w:p>
    <w:p>
      <w:pPr>
        <w:pStyle w:val="ListNumber"/>
        <w:ind w:left="360"/>
      </w:pPr>
      <w:r>
        <w:rPr>
          <w:b/>
        </w:rPr>
        <w:t>TiDB 落地</w:t>
      </w:r>
      <w:r>
        <w:rPr>
          <w:b w:val="0"/>
        </w:rPr>
        <w:t xml:space="preserve">：建库 → 灌 DDL → 接 </w:t>
      </w:r>
      <w:r>
        <w:rPr>
          <w:rFonts w:ascii="Consolas" w:hAnsi="Consolas"/>
          <w:b w:val="0"/>
          <w:sz w:val="19"/>
        </w:rPr>
        <w:t>TenantQueryBuilder</w:t>
      </w:r>
      <w:r>
        <w:rPr>
          <w:b w:val="0"/>
        </w:rPr>
        <w:t xml:space="preserve"> → 诊断结果落库（阻塞：I2 账号）</w:t>
      </w:r>
    </w:p>
    <w:p>
      <w:pPr>
        <w:pStyle w:val="ListNumber"/>
        <w:ind w:left="360"/>
      </w:pPr>
      <w:r>
        <w:rPr>
          <w:b/>
        </w:rPr>
        <w:t>TDengine 落地</w:t>
      </w:r>
      <w:r>
        <w:rPr>
          <w:b w:val="0"/>
        </w:rPr>
        <w:t>：部署 → 特征值写入 → 查询 API（阻塞：I4 磁盘）</w:t>
      </w:r>
    </w:p>
    <w:p>
      <w:pPr>
        <w:pStyle w:val="ListNumber"/>
        <w:ind w:left="360"/>
      </w:pPr>
      <w:r>
        <w:rPr>
          <w:b/>
        </w:rPr>
        <w:t>Pulsar 打通</w:t>
      </w:r>
      <w:r>
        <w:rPr>
          <w:b w:val="0"/>
        </w:rPr>
        <w:t xml:space="preserve">：建 </w:t>
      </w:r>
      <w:r>
        <w:rPr>
          <w:rFonts w:ascii="Consolas" w:hAnsi="Consolas"/>
          <w:b w:val="0"/>
          <w:sz w:val="19"/>
        </w:rPr>
        <w:t>pdm</w:t>
      </w:r>
      <w:r>
        <w:rPr>
          <w:b w:val="0"/>
        </w:rPr>
        <w:t xml:space="preserve"> tenant → Outbox relay → 事件可观测（阻塞：I1 权限）</w:t>
      </w:r>
    </w:p>
    <w:p>
      <w:pPr>
        <w:pStyle w:val="ListNumber"/>
        <w:ind w:left="360"/>
      </w:pPr>
      <w:r>
        <w:rPr>
          <w:b/>
        </w:rPr>
        <w:t>Rust 采集骨架</w:t>
      </w:r>
      <w:r>
        <w:rPr>
          <w:b w:val="0"/>
        </w:rPr>
        <w:t>：OPC UA Client 读 1 台设备 → 特征计算 → 投递</w:t>
      </w:r>
    </w:p>
    <w:p>
      <w:pPr>
        <w:pStyle w:val="ListNumber"/>
        <w:ind w:left="360"/>
      </w:pPr>
      <w:r>
        <w:rPr>
          <w:b/>
        </w:rPr>
        <w:t>Go 事件管线</w:t>
      </w:r>
      <w:r>
        <w:rPr>
          <w:b w:val="0"/>
        </w:rPr>
        <w:t xml:space="preserve">：消费 </w:t>
      </w:r>
      <w:r>
        <w:rPr>
          <w:rFonts w:ascii="Consolas" w:hAnsi="Consolas"/>
          <w:b w:val="0"/>
          <w:sz w:val="19"/>
        </w:rPr>
        <w:t>diagnosis.finalized</w:t>
      </w:r>
      <w:r>
        <w:rPr>
          <w:b w:val="0"/>
        </w:rPr>
        <w:t xml:space="preserve"> → 投影到读模型</w:t>
      </w:r>
    </w:p>
    <w:p>
      <w:pPr>
        <w:pStyle w:val="ListNumber"/>
        <w:ind w:left="360"/>
      </w:pPr>
      <w:r>
        <w:rPr>
          <w:b/>
        </w:rPr>
        <w:t>Java 资产服务</w:t>
      </w:r>
      <w:r>
        <w:rPr>
          <w:b w:val="0"/>
        </w:rPr>
        <w:t>：组织树 + 设备台账 + 权限（D1 要求总部+2 基地）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工程纪律</w:t>
      </w:r>
    </w:p>
    <w:p>
      <w:pPr>
        <w:pStyle w:val="ListBullet"/>
        <w:ind w:left="360"/>
      </w:pPr>
      <w:r>
        <w:rPr>
          <w:b w:val="0"/>
        </w:rPr>
        <w:t xml:space="preserve">提交前 </w:t>
      </w:r>
      <w:r>
        <w:rPr>
          <w:rFonts w:ascii="Consolas" w:hAnsi="Consolas"/>
          <w:b w:val="0"/>
          <w:sz w:val="19"/>
        </w:rPr>
        <w:t>make test</w:t>
      </w:r>
      <w:r>
        <w:rPr>
          <w:b w:val="0"/>
        </w:rPr>
        <w:t xml:space="preserve"> 必须全绿；覆盖率不得低于 80%</w:t>
      </w:r>
    </w:p>
    <w:p>
      <w:pPr>
        <w:pStyle w:val="ListBullet"/>
        <w:ind w:left="360"/>
      </w:pPr>
      <w:r>
        <w:rPr>
          <w:b w:val="0"/>
        </w:rPr>
        <w:t xml:space="preserve">任何新增数据访问必须经 </w:t>
      </w:r>
      <w:r>
        <w:rPr>
          <w:rFonts w:ascii="Consolas" w:hAnsi="Consolas"/>
          <w:b w:val="0"/>
          <w:sz w:val="19"/>
        </w:rPr>
        <w:t>TenantQueryBuilder</w:t>
      </w:r>
      <w:r>
        <w:rPr>
          <w:b w:val="0"/>
        </w:rPr>
        <w:t>，禁止裸 SQL</w:t>
      </w:r>
    </w:p>
    <w:p>
      <w:pPr>
        <w:pStyle w:val="ListBullet"/>
        <w:ind w:left="360"/>
      </w:pPr>
      <w:r>
        <w:rPr>
          <w:b w:val="0"/>
        </w:rPr>
        <w:t xml:space="preserve">任何新增判据必须先在 </w:t>
      </w:r>
      <w:r>
        <w:rPr>
          <w:rFonts w:ascii="Consolas" w:hAnsi="Consolas"/>
          <w:b w:val="0"/>
          <w:sz w:val="19"/>
        </w:rPr>
        <w:t>pdm_signal/tests/</w:t>
      </w:r>
      <w:r>
        <w:rPr>
          <w:b w:val="0"/>
        </w:rPr>
        <w:t xml:space="preserve"> 写用例</w:t>
      </w:r>
    </w:p>
    <w:p>
      <w:pPr>
        <w:pStyle w:val="ListBullet"/>
        <w:ind w:left="360"/>
      </w:pPr>
      <w:r>
        <w:rPr>
          <w:b w:val="0"/>
        </w:rPr>
        <w:t>契约（proto）只增不改；破坏性变更升版本并双跑</w:t>
      </w:r>
    </w:p>
    <w:p>
      <w:pPr>
        <w:pStyle w:val="ListBullet"/>
        <w:ind w:left="360"/>
      </w:pPr>
      <w:r>
        <w:rPr>
          <w:b w:val="0"/>
        </w:rPr>
        <w:t xml:space="preserve">不许删改 </w:t>
      </w:r>
      <w:r>
        <w:rPr>
          <w:rFonts w:ascii="Consolas" w:hAnsi="Consolas"/>
          <w:b w:val="0"/>
          <w:sz w:val="19"/>
        </w:rPr>
        <w:t>TENANT_ISOLATION.md §5</w:t>
      </w:r>
      <w:r>
        <w:rPr>
          <w:b w:val="0"/>
        </w:rPr>
        <w:t xml:space="preserve"> 的四条越权用例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