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08 · 测试与质量保证（TDD / BDD / ATDD）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文档编号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DT-PdM-08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GB/T 8567-2006 §6 测试计划；ISO/IEC/IEEE 29119（软件测试）；TDD / BDD / ATDD 实践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v0.1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三层驱动关系（先说清概念，避免团队各说各话）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ATDD  验收测试驱动：从"业务要什么"出发，三方（业务/开发/测试）共同写验收标准</w:t>
        <w:br/>
        <w:t xml:space="preserve">  │</w:t>
        <w:br/>
        <w:t xml:space="preserve">  ├─► BDD  行为驱动：把验收标准写成 Gherkin（Given/When/Then），可执行</w:t>
        <w:br/>
        <w:t xml:space="preserve">  │</w:t>
        <w:br/>
        <w:t xml:space="preserve">  └─► TDD  测试驱动：开发在写实现前先写单元测试，红→绿→重构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ATDD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BDD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TDD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粒度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特性/故事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场景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函数/类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谁写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业务+测试+开发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三方共同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开发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语言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业务语言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Gherkin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代码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频率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每特性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每场景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每次提交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本项目落点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specs/*/spec.md 的验收标准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specs/*/*.feature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tests/unit/</w:t>
            </w:r>
          </w:p>
        </w:tc>
      </w:tr>
    </w:tbl>
    <w:p>
      <w:r>
        <w:rPr>
          <w:b/>
        </w:rPr>
        <w:t>关键纪律：Gherkin 场景不是"测试脚本"，是"需求的可执行表达"。写不出场景的需求，说明需求没想清楚。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测试策略</w:t>
      </w:r>
    </w:p>
    <w:p>
      <w:pPr>
        <w:pStyle w:val="Heading3"/>
      </w:pPr>
      <w:r>
        <w:t>2.1 测试金字塔（本项目配比）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 xml:space="preserve">        ╱╲          E2E / 场景测试        ~10%   慢、脆、但真实</w:t>
        <w:br/>
        <w:t xml:space="preserve">       ╱  ╲         30–50 条</w:t>
        <w:br/>
        <w:t xml:space="preserve">      ╱────╲</w:t>
        <w:br/>
        <w:t xml:space="preserve">     ╱      ╲       集成 / 契约测试       ~20%   中速</w:t>
        <w:br/>
        <w:t xml:space="preserve">    ╱        ╲      150–250 条</w:t>
        <w:br/>
        <w:t xml:space="preserve">   ╱──────────╲</w:t>
        <w:br/>
        <w:t xml:space="preserve">  ╱            ╲    单元测试             ~70%   快、稳</w:t>
        <w:br/>
        <w:t xml:space="preserve"> ╱______________╲   800+ 条</w:t>
      </w:r>
    </w:p>
    <w:p>
      <w:r>
        <w:rPr>
          <w:b/>
        </w:rPr>
        <w:t>反模式警告：</w:t>
      </w:r>
      <w:r>
        <w:rPr>
          <w:b w:val="0"/>
        </w:rPr>
        <w:t xml:space="preserve"> 不要做"冰淇淋筒"（大量 E2E + 少量单元）。工业系统的 E2E 需要真实设备，成本极高且不稳定。</w:t>
      </w:r>
    </w:p>
    <w:p>
      <w:pPr>
        <w:pStyle w:val="Heading3"/>
      </w:pPr>
      <w:r>
        <w:t>2.2 特殊测试层（工业 AI 系统特有）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┌─────────────────────────────────────────────┐</w:t>
        <w:br/>
        <w:t>│ 第 6 层：模型评测（Model Eval）              │  黄金集 / 回放集 / OOD</w:t>
        <w:br/>
        <w:t>├─────────────────────────────────────────────┤</w:t>
        <w:br/>
        <w:t>│ 第 5 层：AI 行为测试（Agent Eval）           │  工具选择 / 拒答 / 注入防护</w:t>
        <w:br/>
        <w:t>├─────────────────────────────────────────────┤</w:t>
        <w:br/>
        <w:t>│ 第 4 层：混沌与降级测试（Chaos）             │  断网 / 掉线 / 时钟漂移</w:t>
        <w:br/>
        <w:t>├─────────────────────────────────────────────┤</w:t>
        <w:br/>
        <w:t>│ 第 3 层：性能与容量（Perf）                  │  5000 点/秒 / P95 时延</w:t>
        <w:br/>
        <w:t>├─────────────────────────────────────────────┤</w:t>
        <w:br/>
        <w:t>│ 第 2 层：安全测试（Sec）                     │  SAST/DAST/越权/红队</w:t>
        <w:br/>
        <w:t>├─────────────────────────────────────────────┤</w:t>
        <w:br/>
        <w:t>│ 第 1 层：功能测试（Func）                    │  金字塔三层</w:t>
        <w:br/>
        <w:t>└─────────────────────────────────────────────┘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TDD 实践规范</w:t>
      </w:r>
    </w:p>
    <w:p>
      <w:pPr>
        <w:pStyle w:val="Heading3"/>
      </w:pPr>
      <w:r>
        <w:t>3.1 红-绿-重构（强制）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1. 写一个失败的测试（红）——必须先看到它失败，且失败原因是"功能未实现"而非"语法错"</w:t>
        <w:br/>
        <w:t>2. 写最少的代码让它通过（绿）——不写"将来可能需要"的代码</w:t>
        <w:br/>
        <w:t>3. 重构（保持绿）——消除重复、改善命名</w:t>
        <w:br/>
        <w:t>4. 提交（每个循环 ≤ 15 分钟）</w:t>
      </w:r>
    </w:p>
    <w:p>
      <w:pPr>
        <w:pStyle w:val="Heading3"/>
      </w:pPr>
      <w:r>
        <w:t>3.2 单元测试要求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命名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test_&lt;被测单元&gt;_&lt;场景&gt;_&lt;期望&gt;，如 test_hi_calculation_single_dim_fatal_returns_zero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结构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Arrange-Act-Assert 三段，空行分隔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断言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一个测试一个概念；避免 assert x == 1 and y == 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隔离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不碰网络/数据库/时间（用 fake/注入 Clock）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覆盖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行 ≥ 80%，核心算法（特征/HI/RUL）≥ 90%，分支 ≥ 75%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速度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单测全量 &lt; 60 秒</w:t>
            </w:r>
          </w:p>
        </w:tc>
      </w:tr>
    </w:tbl>
    <w:p>
      <w:pPr>
        <w:pStyle w:val="Heading3"/>
      </w:pPr>
      <w:r>
        <w:t>3.3 核心算法测试样例（特征与 HI）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tests/unit/test_health_index.py</w:t>
        <w:br/>
        <w:t>import pytest</w:t>
        <w:br/>
        <w:t>from pdm.health import compute_hi</w:t>
        <w:br/>
        <w:br/>
        <w:t>class TestHealthIndex:</w:t>
        <w:br/>
        <w:t xml:space="preserve">    def test_all_dimensions_healthy_returns_100(self):</w:t>
        <w:br/>
        <w:t xml:space="preserve">        hi = compute_hi(s_vib=0.0, s_imp=0.0, s_temp=0.0, s_curr=0.0, s_trend=0.0)</w:t>
        <w:br/>
        <w:t xml:space="preserve">        assert hi.value == 100</w:t>
        <w:br/>
        <w:br/>
        <w:t xml:space="preserve">    def test_single_dim_fatal_forces_zero(self):</w:t>
        <w:br/>
        <w:t xml:space="preserve">        # 单维度致命 → 整体致命（短板效应）</w:t>
        <w:br/>
        <w:t xml:space="preserve">        hi = compute_hi(s_vib=1.0, s_imp=0.0, s_temp=0.0, s_curr=0.0, s_trend=0.0)</w:t>
        <w:br/>
        <w:t xml:space="preserve">        assert hi.value == 0</w:t>
        <w:br/>
        <w:t xml:space="preserve">        assert hi.level == "red"</w:t>
        <w:br/>
        <w:br/>
        <w:t xml:space="preserve">    def test_missing_dimension_renormalizes_weights(self):</w:t>
        <w:br/>
        <w:t xml:space="preserve">        hi = compute_hi(s_vib=0.5, s_imp=None, s_temp=0.0, s_curr=0.0, s_trend=0.0)</w:t>
        <w:br/>
        <w:t xml:space="preserve">        assert hi.degraded is True</w:t>
        <w:br/>
        <w:t xml:space="preserve">        assert abs(sum(hi.weights.values()) - 1.0) &lt; 1e-6</w:t>
        <w:br/>
        <w:br/>
        <w:t xml:space="preserve">    def test_contributions_sum_matches_delta(self):</w:t>
        <w:br/>
        <w:t xml:space="preserve">        hi = compute_hi(s_vib=0.62, s_imp=0.55, s_temp=0.1, s_curr=0.0, s_trend=0.4)</w:t>
        <w:br/>
        <w:t xml:space="preserve">        total_delta = sum(c.delta for c in hi.contributions)</w:t>
        <w:br/>
        <w:t xml:space="preserve">        assert abs((100 + total_delta) - hi.value) &lt; 1e-6</w:t>
        <w:br/>
        <w:br/>
        <w:t xml:space="preserve">    @pytest.mark.parametrize("s,expected_level", [</w:t>
        <w:br/>
        <w:t xml:space="preserve">        (0.0, "green"), (0.25, "green"),</w:t>
        <w:br/>
        <w:t xml:space="preserve">        (0.35, "yellow"), (0.5, "orange"), (0.7, "red"),</w:t>
        <w:br/>
        <w:t xml:space="preserve">    ])</w:t>
        <w:br/>
        <w:t xml:space="preserve">    def test_level_boundaries(self, s, expected_level):</w:t>
        <w:br/>
        <w:t xml:space="preserve">        hi = compute_hi(s_vib=s, s_imp=0, s_temp=0, s_curr=0, s_trend=0)</w:t>
        <w:br/>
        <w:t xml:space="preserve">        assert hi.level == expected_level</w:t>
      </w:r>
    </w:p>
    <w:p>
      <w:pPr>
        <w:pStyle w:val="Heading3"/>
      </w:pPr>
      <w:r>
        <w:t>3.4 测试替身策略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依赖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替身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时序库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In-memory fake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固定数据集，可断言查询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LLM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Stub（录制回放）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避免测试依赖模型不确定性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EAM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Mock Server（WireMock）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可注入 500/超时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时钟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注入 Clock 接口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时间相关逻辑可测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传感器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波形回放器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用真实故障波形驱动</w:t>
            </w:r>
          </w:p>
        </w:tc>
      </w:tr>
    </w:tbl>
    <w:p>
      <w:pPr>
        <w:ind w:left="360"/>
      </w:pPr>
      <w:r>
        <w:rPr>
          <w:i/>
          <w:color w:val="4A5158"/>
        </w:rPr>
        <w:t>LLM 测试原则： 单元测试不调真实模型。用录制的"提示→响应"对做回归；真实模型只在"AI 行为测试层"跑，且用温度 0 + 固定版本。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BDD 实践规范</w:t>
      </w:r>
    </w:p>
    <w:p>
      <w:pPr>
        <w:pStyle w:val="Heading3"/>
      </w:pPr>
      <w:r>
        <w:t>4.1 Gherkin 写作规则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规则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一场景一行为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不要在一个 Scenario 里验证 3 件事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Given 用业务语言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"Given 3 号压缩机已连续运行 30 天" 而非 "Given 数据库有 1000 行"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Then 可观测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必须能被外部观察到（返回值、事件、UI）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避免 UI 细节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不写"点击第 3 个按钮"，写"提交确认"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数据用表格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多组数据用 Scenario Outline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每条 FR 至少 1 场景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需求追踪的硬要求</w:t>
            </w:r>
          </w:p>
        </w:tc>
      </w:tr>
    </w:tbl>
    <w:p>
      <w:pPr>
        <w:pStyle w:val="Heading3"/>
      </w:pPr>
      <w:r>
        <w:t>4.2 核心场景（节选，完整见 specs/*/*.feature）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language: zh-CN</w:t>
        <w:br/>
        <w:t>功能: 设备健康评估</w:t>
        <w:br/>
        <w:t xml:space="preserve">  作为设备工程师</w:t>
        <w:br/>
        <w:t xml:space="preserve">  我希望用一句话知道设备现在健不健康</w:t>
        <w:br/>
        <w:t xml:space="preserve">  以便决定是否需要进一步分析</w:t>
        <w:br/>
        <w:br/>
        <w:t xml:space="preserve">  场景: 单维度致命时健康指数归零</w:t>
        <w:br/>
        <w:t xml:space="preserve">    假设 3 号压缩机的驱动端轴承振动速度有效值为 11.2 mm/s</w:t>
        <w:br/>
        <w:t xml:space="preserve">    并且 该值处于 ISO 20816-3 的 D 区</w:t>
        <w:br/>
        <w:t xml:space="preserve">    当 我查询该设备的健康指数</w:t>
        <w:br/>
        <w:t xml:space="preserve">    那么 健康指数应为 0</w:t>
        <w:br/>
        <w:t xml:space="preserve">    并且 健康等级应为 "红色"</w:t>
        <w:br/>
        <w:t xml:space="preserve">    并且 结论中应包含证据 "ISO 20816-3 D区"</w:t>
        <w:br/>
        <w:br/>
        <w:t xml:space="preserve">  场景: 传感器失效时降级而非误报正常</w:t>
        <w:br/>
        <w:t xml:space="preserve">    假设 3 号压缩机有 4 个振动通道</w:t>
        <w:br/>
        <w:t xml:space="preserve">    并且 其中 2 个通道已失效</w:t>
        <w:br/>
        <w:t xml:space="preserve">    当 我查询该设备的健康指数</w:t>
        <w:br/>
        <w:t xml:space="preserve">    那么 结果应标记为 "降级模式"</w:t>
        <w:br/>
        <w:t xml:space="preserve">    并且 置信度应低于 0.6</w:t>
        <w:br/>
        <w:t xml:space="preserve">    并且 结论不得为 "设备正常"</w:t>
        <w:br/>
        <w:br/>
        <w:t xml:space="preserve">  场景大纲: 四级告警边界</w:t>
        <w:br/>
        <w:t xml:space="preserve">    假设 设备的健康指数为 &lt;hi&gt;</w:t>
        <w:br/>
        <w:t xml:space="preserve">    当 系统评估告警等级</w:t>
        <w:br/>
        <w:t xml:space="preserve">    那么 告警等级应为 &lt;level&gt;</w:t>
        <w:br/>
        <w:t xml:space="preserve">    并且 响应时限应为 &lt;sla&gt; 小时</w:t>
        <w:br/>
        <w:br/>
        <w:t xml:space="preserve">    例子:</w:t>
        <w:br/>
        <w:t xml:space="preserve">      | hi | level  | sla |</w:t>
        <w:br/>
        <w:t xml:space="preserve">      | 95 | 绿色   | 0   |</w:t>
        <w:br/>
        <w:t xml:space="preserve">      | 80 | 绿色   | 0   |</w:t>
        <w:br/>
        <w:t xml:space="preserve">      | 79 | 黄色   | 168 |</w:t>
        <w:br/>
        <w:t xml:space="preserve">      | 60 | 黄色   | 168 |</w:t>
        <w:br/>
        <w:t xml:space="preserve">      | 59 | 橙色   | 72  |</w:t>
        <w:br/>
        <w:t xml:space="preserve">      | 40 | 橙色   | 72  |</w:t>
        <w:br/>
        <w:t xml:space="preserve">      | 39 | 红色   | 4   |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功能: 维护决策会诊</w:t>
        <w:br/>
        <w:t xml:space="preserve">  场景: 备件未到货时不得推荐早于到货日的窗口</w:t>
        <w:br/>
        <w:t xml:space="preserve">    假设 设备 KA-101 的剩余寿命中位数为 19 天</w:t>
        <w:br/>
        <w:t xml:space="preserve">    并且 轴承备件预计 10 月 30 日到货</w:t>
        <w:br/>
        <w:t xml:space="preserve">    并且 10 月 28 日存在可用停机窗口</w:t>
        <w:br/>
        <w:t xml:space="preserve">    当 系统生成维护方案卡</w:t>
        <w:br/>
        <w:t xml:space="preserve">    那么 推荐窗口的起始日期不得早于 2026-10-30</w:t>
        <w:br/>
        <w:t xml:space="preserve">    并且 方案卡中应说明 "备件未到货" 的约束</w:t>
        <w:br/>
        <w:t xml:space="preserve">    并且 应提供至少 1 个备选窗口</w:t>
        <w:br/>
        <w:br/>
        <w:t xml:space="preserve">  场景: 评估者识别角色冲突</w:t>
        <w:br/>
        <w:t xml:space="preserve">    假设 生产经理建议 10 月 28 日窗口</w:t>
        <w:br/>
        <w:t xml:space="preserve">    并且 维修经理指出备件 10 月 30 日才到货</w:t>
        <w:br/>
        <w:t xml:space="preserve">    当 评估者校验会诊意见</w:t>
        <w:br/>
        <w:t xml:space="preserve">    那么 一致性评分应低于 0.6</w:t>
        <w:br/>
        <w:t xml:space="preserve">    并且 冲突列表应包含 "窗口与备件到货冲突"</w:t>
        <w:br/>
        <w:t xml:space="preserve">    并且 方案卡状态应为 "待人工裁决"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功能: 写操作安全</w:t>
        <w:br/>
        <w:t xml:space="preserve">  场景: 无人工确认令牌时拒绝创建工单</w:t>
        <w:br/>
        <w:t xml:space="preserve">    假设 智能体已完成维护方案卡 REC-20261021-0031</w:t>
        <w:br/>
        <w:t xml:space="preserve">    并且 该方案卡尚未获得人工确认</w:t>
        <w:br/>
        <w:t xml:space="preserve">    当 智能体调用 "创建工单草稿" 工具</w:t>
        <w:br/>
        <w:t xml:space="preserve">    那么 调用应被拒绝</w:t>
        <w:br/>
        <w:t xml:space="preserve">    并且 应返回错误码 "PDM-3002"</w:t>
        <w:br/>
        <w:t xml:space="preserve">    并且 审计日志应记录一次被拒绝的尝试</w:t>
        <w:br/>
        <w:br/>
        <w:t xml:space="preserve">  场景: 声称完成但无回执时阻止结束</w:t>
        <w:br/>
        <w:t xml:space="preserve">    假设 智能体调用了 "创建工单草稿" 且接口超时</w:t>
        <w:br/>
        <w:t xml:space="preserve">    当 智能体声称 "工单已创建"</w:t>
        <w:br/>
        <w:t xml:space="preserve">    那么 停止钩子应阻止结束</w:t>
        <w:br/>
        <w:t xml:space="preserve">    并且 应返回原因 "声称已建工单但无回执号"</w:t>
        <w:br/>
        <w:t xml:space="preserve">    并且 应转人工处理</w:t>
      </w:r>
    </w:p>
    <w:p>
      <w:pPr>
        <w:pStyle w:val="Heading3"/>
      </w:pPr>
      <w:r>
        <w:t>4.3 BDD 执行架构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.feature 文件（业务可读）</w:t>
        <w:br/>
        <w:t xml:space="preserve">      │</w:t>
        <w:br/>
        <w:t xml:space="preserve">      ▼</w:t>
        <w:br/>
        <w:t>step definitions（Python: pytest-bdd）</w:t>
        <w:br/>
        <w:t xml:space="preserve">      │</w:t>
        <w:br/>
        <w:t xml:space="preserve">      ▼</w:t>
        <w:br/>
        <w:t>系统边界（API / MCP 客户端 / UI 驱动）</w:t>
        <w:br/>
        <w:t xml:space="preserve">      │</w:t>
        <w:br/>
        <w:t xml:space="preserve">      ▼</w:t>
        <w:br/>
        <w:t>测试环境（Docker Compose：TDengine + PG + mock EAM + stub LLM）</w:t>
      </w:r>
    </w:p>
    <w:p>
      <w:r>
        <w:rPr>
          <w:b/>
        </w:rPr>
        <w:t>规则：</w:t>
      </w:r>
      <w:r>
        <w:rPr>
          <w:b w:val="0"/>
        </w:rPr>
        <w:t xml:space="preserve"> 场景只通过</w:t>
      </w:r>
      <w:r>
        <w:rPr>
          <w:b/>
        </w:rPr>
        <w:t>外部接口</w:t>
      </w:r>
      <w:r>
        <w:rPr>
          <w:b w:val="0"/>
        </w:rPr>
        <w:t>驱动系统，不直接调内部函数（否则就是伪装的单元测试）。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ATDD：验收标准前置</w:t>
      </w:r>
    </w:p>
    <w:p>
      <w:pPr>
        <w:pStyle w:val="Heading3"/>
      </w:pPr>
      <w:r>
        <w:t>5.1 三方评审（Three Amigos）</w:t>
      </w:r>
    </w:p>
    <w:p>
      <w:r>
        <w:rPr>
          <w:b w:val="0"/>
        </w:rPr>
        <w:t>每个特性开发前，业务（设备专家）、开发、测试三方 45 分钟会议，产出：</w:t>
      </w:r>
    </w:p>
    <w:p>
      <w:pPr>
        <w:pStyle w:val="ListNumber"/>
        <w:ind w:left="360"/>
      </w:pPr>
      <w:r>
        <w:rPr>
          <w:b w:val="0"/>
        </w:rPr>
        <w:t>这个特性</w:t>
      </w:r>
      <w:r>
        <w:rPr>
          <w:b/>
        </w:rPr>
        <w:t>不做什么</w:t>
      </w:r>
      <w:r>
        <w:rPr>
          <w:b w:val="0"/>
        </w:rPr>
        <w:t>（边界）</w:t>
      </w:r>
    </w:p>
    <w:p>
      <w:pPr>
        <w:pStyle w:val="ListNumber"/>
        <w:ind w:left="360"/>
      </w:pPr>
      <w:r>
        <w:rPr>
          <w:b w:val="0"/>
        </w:rPr>
        <w:t>3–5 条验收场景（Gherkin 草稿）</w:t>
      </w:r>
    </w:p>
    <w:p>
      <w:pPr>
        <w:pStyle w:val="ListNumber"/>
        <w:ind w:left="360"/>
      </w:pPr>
      <w:r>
        <w:rPr>
          <w:b w:val="0"/>
        </w:rPr>
        <w:t>需要的数据样本（真实波形/工单）</w:t>
      </w:r>
    </w:p>
    <w:p>
      <w:pPr>
        <w:pStyle w:val="ListNumber"/>
        <w:ind w:left="360"/>
      </w:pPr>
      <w:r>
        <w:rPr>
          <w:b w:val="0"/>
        </w:rPr>
        <w:t>无法自动化的部分（人工验收项）</w:t>
      </w:r>
    </w:p>
    <w:p>
      <w:r>
        <w:rPr>
          <w:b/>
        </w:rPr>
        <w:t>没有三方评审的特性，不允许进入开发。</w:t>
      </w:r>
    </w:p>
    <w:p>
      <w:pPr>
        <w:pStyle w:val="Heading3"/>
      </w:pPr>
      <w:r>
        <w:t>5.2 验收标准模板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## 特性：XXX</w:t>
        <w:br/>
        <w:t>### 业务价值</w:t>
        <w:br/>
        <w:t>（一句话，含可量化收益）</w:t>
        <w:br/>
        <w:br/>
        <w:t>### 验收标准</w:t>
        <w:br/>
        <w:t>- [ ] AC-1: （Gherkin 场景链接）</w:t>
        <w:br/>
        <w:t>- [ ] AC-2: ...</w:t>
        <w:br/>
        <w:t>- [ ] AC-3: （人工验收：设备专家签字确认判据合理）</w:t>
        <w:br/>
        <w:br/>
        <w:t>### 不做什么</w:t>
        <w:br/>
        <w:t>- 不做 ...</w:t>
        <w:br/>
        <w:t>- 不做 ...</w:t>
        <w:br/>
        <w:br/>
        <w:t>### 数据依赖</w:t>
        <w:br/>
        <w:t>- 需要 3 条真实故障波形（含拆检报告）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模型评测（第 6 层，最容易糊弄也最不能糊弄）</w:t>
      </w:r>
    </w:p>
    <w:p>
      <w:pPr>
        <w:pStyle w:val="Heading3"/>
      </w:pPr>
      <w:r>
        <w:t>6.1 评测数据集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规模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更新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Golden Set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已拆检确认的故障案例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 60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验收、回归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季度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Replay Set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连续 3 个月全量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 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误报率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月度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OOD Set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工况越界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 30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鲁棒性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半年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Synthetic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注入故障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不限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冷启动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按需</w:t>
            </w:r>
          </w:p>
        </w:tc>
      </w:tr>
    </w:tbl>
    <w:p>
      <w:pPr>
        <w:pStyle w:val="Heading3"/>
      </w:pPr>
      <w:r>
        <w:t>6.2 指标定义（必须写清公式，避免各说各话）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定义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目标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召回率 Recall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TP / (TP + FN)，按故障模式分别算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 90%（关键模式）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误报率 FPR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FP / (FP + TN)，按"设备·周"统计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≤ 0.5 次/台·周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提前期 Lead Time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首次橙色 → 实际失效的天数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中位数 ≥ 14 天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RUL MAE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mean(\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pred − actual\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) / actual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≤ 20%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区间覆盖率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实际值落在 [P10,P90] 的比例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75%–85%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校准误差 ECE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置信度分箱后 \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acc − conf\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加权和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≤ 0.08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降级正确率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数据不足时正确标记降级的比例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≥ 95%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</w:tbl>
    <w:p>
      <w:pPr>
        <w:ind w:left="360"/>
      </w:pPr>
      <w:r>
        <w:rPr>
          <w:i/>
          <w:color w:val="4A5158"/>
        </w:rPr>
        <w:t>为什么要求区间覆盖率 75–85% 而不是 100%： 100% 说明区间过宽（没有信息量）；低于 70% 说明区间不可信。80% 名义区间实际覆盖 75–85% 才算校准良好。</w:t>
      </w:r>
    </w:p>
    <w:p>
      <w:pPr>
        <w:pStyle w:val="Heading3"/>
      </w:pPr>
      <w:r>
        <w:t>6.3 评测报告模板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模型评测报告 v{版本}</w:t>
        <w:br/>
        <w:t>## 1. 被测对象</w:t>
        <w:br/>
        <w:t>模型 / 版本 / 数据集指纹 / 代码 commit</w:t>
        <w:br/>
        <w:br/>
        <w:t>## 2. 总体指标</w:t>
        <w:br/>
        <w:t>（表格：召回/误报/提前期/RUL MAE/ECE）</w:t>
        <w:br/>
        <w:br/>
        <w:t>## 3. 分故障模式指标</w:t>
        <w:br/>
        <w:t>（每种故障模式单独一行，标出最差的 3 个）</w:t>
        <w:br/>
        <w:br/>
        <w:t>## 4. 失效案例分析</w:t>
        <w:br/>
        <w:t>（至少 5 例，含波形截图与误判原因）</w:t>
        <w:br/>
        <w:br/>
        <w:t>## 5. 与基线对比</w:t>
        <w:br/>
        <w:t>（相对上一版本，哪些变好、哪些变差）</w:t>
        <w:br/>
        <w:br/>
        <w:t>## 6. 结论与建议</w:t>
        <w:br/>
        <w:t>（是否可上线 / 适用边界 / 需要补充的数据）</w:t>
      </w:r>
    </w:p>
    <w:p>
      <w:r>
        <w:rPr>
          <w:b/>
        </w:rPr>
        <w:t>硬性要求：报告必须包含"失效案例"，只有好指标的评测报告一律打回。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混沌与降级测试（第 4 层）</w:t>
      </w:r>
    </w:p>
    <w:p>
      <w:pPr>
        <w:pStyle w:val="Heading3"/>
      </w:pPr>
      <w:r>
        <w:t>7.1 故障注入清单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注入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期望行为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验证点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断网 30 分钟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边缘继续诊断与告警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本地告警正常，恢复后补传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单通道拔除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降级 + 置信度下调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不输出"正常"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时钟跳变 +5 分钟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检测并标记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不产生错误趋势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数据冻结（值不变）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识别为 STALE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不当作"稳定健康"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波形丢包 20%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质量分下降，仍可分析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置信度下降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PLC 拒绝连接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重连退避，其他设备不受影响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隔离性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LLM 服务超时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降级到模板报告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仍输出建议动作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EAM 返回 500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重试 3 次 → 人工队列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不声称成功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磁盘写满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按优先级淘汰波形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结论不丢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Kafka 堆积 100 万条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背压 + 告警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 OOM</w:t>
            </w:r>
          </w:p>
        </w:tc>
      </w:tr>
    </w:tbl>
    <w:p>
      <w:pPr>
        <w:pStyle w:val="Heading3"/>
      </w:pPr>
      <w:r>
        <w:t>7.2 混沌测试执行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chaos/experiments/network-partition.yaml</w:t>
        <w:br/>
        <w:t>name: edge-network-partition</w:t>
        <w:br/>
        <w:t>target: edge-node-01</w:t>
        <w:br/>
        <w:t>action: partition</w:t>
        <w:br/>
        <w:t>duration: 30m</w:t>
        <w:br/>
        <w:t>direction: to-center</w:t>
        <w:br/>
        <w:t>assertions:</w:t>
        <w:br/>
        <w:t xml:space="preserve">  - local_diagnosis_available: true</w:t>
        <w:br/>
        <w:t xml:space="preserve">  - alerts_delivered_locally: true</w:t>
        <w:br/>
        <w:t xml:space="preserve">  - cache_size_growth: "&lt; 20GB"</w:t>
        <w:br/>
        <w:t xml:space="preserve">  - recovery_backfill_complete: "within 5m"</w:t>
      </w:r>
    </w:p>
    <w:p>
      <w:r>
        <w:rPr>
          <w:b/>
        </w:rPr>
        <w:t>频率：</w:t>
      </w:r>
      <w:r>
        <w:rPr>
          <w:b w:val="0"/>
        </w:rPr>
        <w:t xml:space="preserve"> 每迭代 1 次（非生产环境）；上线前 1 次（准生产）。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性能测试（第 3 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负载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通过标准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采集吞吐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5,000 点/秒 × 60 分钟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零丢点，CPU &lt; 70%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特征计算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100 并发波形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P95 &lt; 500 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诊断 API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50 并发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P95 &lt; 8 s，错误率 &lt; 1%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会诊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 并发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P95 &lt; 60 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看板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50 用户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首屏 &lt; 2 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长稳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72 小时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内存无泄漏（增长 &lt; 5%）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9. 质量门禁（Quality Gates）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Gate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条件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阻断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G-提交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单测通过 + Lint 通过 + 覆盖率不下降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阻断合并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G-合并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单测 ≥ 80% + 契约测试通过 + SAST 无高危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阻断合并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G-构建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镜像扫描无高危 + SBOM 生成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阻断部署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G-集成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BDD 场景 100% 通过 + 混沌 C1–C3 通过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阻断进准生产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G-发布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性能达标 + 模型评测达标 + 安全测试通过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阻断上线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G-灰度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灰度 7 天误报率达标 + 无 P1 事件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阻断全量</w:t>
            </w:r>
          </w:p>
        </w:tc>
      </w:tr>
    </w:tbl>
    <w:p>
      <w:pPr>
        <w:pStyle w:val="Heading3"/>
      </w:pPr>
      <w:r>
        <w:t>9.1 Definition of Done（DoD）</w:t>
      </w:r>
    </w:p>
    <w:p>
      <w:r>
        <w:rPr>
          <w:b w:val="0"/>
        </w:rPr>
        <w:t>一个特性"完成"必须同时满足：</w:t>
      </w:r>
    </w:p>
    <w:p>
      <w:pPr>
        <w:pStyle w:val="ListBullet"/>
        <w:ind w:left="360"/>
      </w:pPr>
      <w:r>
        <w:rPr>
          <w:b w:val="0"/>
        </w:rPr>
        <w:t>[ ] 代码已合并主干</w:t>
      </w:r>
    </w:p>
    <w:p>
      <w:pPr>
        <w:pStyle w:val="ListBullet"/>
        <w:ind w:left="360"/>
      </w:pPr>
      <w:r>
        <w:rPr>
          <w:b w:val="0"/>
        </w:rPr>
        <w:t>[ ] 单元测试覆盖（含边界与异常）</w:t>
      </w:r>
    </w:p>
    <w:p>
      <w:pPr>
        <w:pStyle w:val="ListBullet"/>
        <w:ind w:left="360"/>
      </w:pPr>
      <w:r>
        <w:rPr>
          <w:b w:val="0"/>
        </w:rPr>
        <w:t>[ ] 对应 Gherkin 场景通过</w:t>
      </w:r>
    </w:p>
    <w:p>
      <w:pPr>
        <w:pStyle w:val="ListBullet"/>
        <w:ind w:left="360"/>
      </w:pPr>
      <w:r>
        <w:rPr>
          <w:b w:val="0"/>
        </w:rPr>
        <w:t>[ ] 契约测试通过（如有接口变更）</w:t>
      </w:r>
    </w:p>
    <w:p>
      <w:pPr>
        <w:pStyle w:val="ListBullet"/>
        <w:ind w:left="360"/>
      </w:pPr>
      <w:r>
        <w:rPr>
          <w:b w:val="0"/>
        </w:rPr>
        <w:t>[ ] 文档更新（接口文档/ADR/运维手册）</w:t>
      </w:r>
    </w:p>
    <w:p>
      <w:pPr>
        <w:pStyle w:val="ListBullet"/>
        <w:ind w:left="360"/>
      </w:pPr>
      <w:r>
        <w:rPr>
          <w:b w:val="0"/>
        </w:rPr>
        <w:t>[ ] 可观测性埋点（日志/指标/trace）</w:t>
      </w:r>
    </w:p>
    <w:p>
      <w:pPr>
        <w:pStyle w:val="ListBullet"/>
        <w:ind w:left="360"/>
      </w:pPr>
      <w:r>
        <w:rPr>
          <w:b w:val="0"/>
        </w:rPr>
        <w:t>[ ] 已在测试环境演示给业务方</w:t>
      </w:r>
    </w:p>
    <w:p>
      <w:pPr>
        <w:pStyle w:val="ListBullet"/>
        <w:ind w:left="360"/>
      </w:pPr>
      <w:r>
        <w:rPr>
          <w:b w:val="0"/>
        </w:rPr>
        <w:t>[ ] 无新增技术债（或有登记）</w:t>
      </w:r>
    </w:p>
    <w:p>
      <w:pPr>
        <w:pStyle w:val="ListBullet"/>
        <w:ind w:left="360"/>
      </w:pPr>
      <w:r>
        <w:rPr>
          <w:b w:val="0"/>
        </w:rPr>
        <w:t>[ ] 回滚方案明确</w:t>
      </w:r>
    </w:p>
    <w:p>
      <w:r>
        <w:rPr>
          <w:b/>
        </w:rPr>
        <w:t>"能跑"不是完成，"能回滚、能观测、能解释"才是完成。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10. 缺陷分级与响应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级别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定义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响应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修复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数据错误导致误判停机 / 越权 / 数据外泄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15 分钟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 小时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核心功能不可用（诊断不出结果）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 小时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24 小时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功能异常但有绕过方案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 小时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 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体验/文案/非关键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 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下迭代</w:t>
            </w:r>
          </w:p>
        </w:tc>
      </w:tr>
    </w:tbl>
    <w:p>
      <w:r>
        <w:rPr>
          <w:b/>
        </w:rPr>
        <w:t>P0 定义里"误判停机"排第一</w:t>
      </w:r>
      <w:r>
        <w:rPr>
          <w:b w:val="0"/>
        </w:rPr>
        <w:t>——因为一次错误的"建议停机"造成的损失，可能超过系统全年收益。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11. 测试环境矩阵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环境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数据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模型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设备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dev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开发自测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合成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stub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模拟器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自动化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固定夹具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stub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test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集成/BDD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脱敏真实（1 个月）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真实（小模型）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波形回放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staging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准生产/性能/混沌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脱敏真实（3 个月）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真实（全量）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台真实设备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prod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生产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真实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真实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全部</w:t>
            </w:r>
          </w:p>
        </w:tc>
      </w:tr>
    </w:tbl>
    <w:p>
      <w:r>
        <w:rPr>
          <w:b/>
        </w:rPr>
        <w:t>staging 必须有 1 台真实设备。</w:t>
      </w:r>
      <w:r>
        <w:rPr>
          <w:b w:val="0"/>
        </w:rPr>
        <w:t xml:space="preserve"> 纯回放的测试环境，永远测不出"传感器松动"这类物理问题。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