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· 总体架构设计（SAD）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TOGAF 10 阶段 B（业务架构）/ C（信息系统架构：数据+应用）/ D（技术架构）；C4 模型；4A 架构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架构原则（Architecture Principles）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原则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理由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违反示例（反模式）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建议不指令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系统不参与安全联锁，不承担控制责任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直接向 PLC 写设定值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证据可回放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工业场景要"说错了谁负责"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只输出"置信度 87%"无依据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降级优于崩溃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脏数据、断网、掉线是常态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一个通道失效导致整条链停摆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协议无关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工厂协议碎片化，上层不应感知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诊断代码里写 if protocol == 'modbus'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人机共决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关键决策必须留人工确认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自动创建工单并派工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单点可替换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开源组件生命周期不可控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算法与 supOS/TDengine 深度耦合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配置优于编码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新设备接入不应发版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每接一台设备改代码重新部署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默认最小权限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等保三级 + 工控安全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拥有全库读写权限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业务架构（TOGAF 阶段 B）</w:t>
      </w:r>
    </w:p>
    <w:p>
      <w:pPr>
        <w:pStyle w:val="Heading3"/>
      </w:pPr>
      <w:r>
        <w:t>2.1 价值链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设备运行 → 状态感知 → 异常识别 → 健康评估 → 寿命预测 → 维护决策 → 工单执行 → 效果复盘</w:t>
        <w:br/>
        <w:t xml:space="preserve">   │           │           │           │           │           │           │           │</w:t>
        <w:br/>
        <w:t xml:space="preserve"> 现场        采集        告警        诊断        预后        会诊        维修        知识沉淀</w:t>
        <w:br/>
        <w:t xml:space="preserve">   │                                                           │</w:t>
        <w:br/>
        <w:t xml:space="preserve">   └──────────────── 反馈：基线重置 / 判据修订 ←────────────────┘</w:t>
      </w:r>
    </w:p>
    <w:p>
      <w:pPr>
        <w:pStyle w:val="Heading3"/>
      </w:pPr>
      <w:r>
        <w:t>2.2 业务能力地图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L1 能力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L2 能力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系统支撑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设备资产管理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台账、关键度分级、BOM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状态监测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采集、波形、趋势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故障诊断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特征分析、故障模式匹配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健康管理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HI、劣化趋势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寿命预测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RUL、OOD 识别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维护决策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会诊、窗口优化、经济性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维护执行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工单、备件、派工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M5 + EAM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知识管理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案例库、判据库、技能库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治理合规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审计、权限、模型治理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M8</w:t>
            </w:r>
          </w:p>
        </w:tc>
      </w:tr>
    </w:tbl>
    <w:p>
      <w:pPr>
        <w:pStyle w:val="Heading3"/>
      </w:pPr>
      <w:r>
        <w:t>2.3 业务流程（决策主流程，BPMN 简化）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[橙色告警触发]</w:t>
        <w:br/>
        <w:t xml:space="preserve">      │</w:t>
        <w:br/>
        <w:t xml:space="preserve">      ▼</w:t>
        <w:br/>
        <w:t>[自动收集证据包]──► 数据不足? ──是──► [请求补采/延长窗口] ──┐</w:t>
        <w:br/>
        <w:t xml:space="preserve">      │否                                                  │</w:t>
        <w:br/>
        <w:t xml:space="preserve">      ▼                                                    │</w:t>
        <w:br/>
        <w:t>[四角色并行会诊]                                            │</w:t>
        <w:br/>
        <w:t xml:space="preserve">  ├ 车间经理：运行数据+现场记录                              │</w:t>
        <w:br/>
        <w:t xml:space="preserve">  ├ 可靠性：关键度+历史故障+同类案例                          │</w:t>
        <w:br/>
        <w:t xml:space="preserve">  ├ 生产：排产+瓶颈+交付节点                                │</w:t>
        <w:br/>
        <w:t xml:space="preserve">  └ 维修：RUL+备件库存+工时+技能匹配                          │</w:t>
        <w:br/>
        <w:t xml:space="preserve">      │                                                    │</w:t>
        <w:br/>
        <w:t xml:space="preserve">      ▼                                                    │</w:t>
        <w:br/>
        <w:t>[Evaluator 一致性校验] ──冲突──► [标注冲突点，交人工裁决]     │</w:t>
        <w:br/>
        <w:t xml:space="preserve">      │一致                                                │</w:t>
        <w:br/>
        <w:t xml:space="preserve">      ▼                                                    │</w:t>
        <w:br/>
        <w:t>[生成方案卡（含经济性）]                                     │</w:t>
        <w:br/>
        <w:t xml:space="preserve">      │                                                    │</w:t>
        <w:br/>
        <w:t xml:space="preserve">      ▼                                                    │</w:t>
        <w:br/>
        <w:t>[人工确认] ──拒绝──► [记录原因分类] ──► 回流模型迭代 ◄────────┘</w:t>
        <w:br/>
        <w:t xml:space="preserve">      │确认</w:t>
        <w:br/>
        <w:t xml:space="preserve">      ▼</w:t>
        <w:br/>
        <w:t>[创建 EAM 工单草稿] ──失败──► [重试→人工队列]</w:t>
        <w:br/>
        <w:t xml:space="preserve">      │成功</w:t>
        <w:br/>
        <w:t xml:space="preserve">      ▼</w:t>
        <w:br/>
        <w:t>[回写工单号 + 跟踪执行 + 复盘]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应用架构（TOGAF 阶段 C-应用 / 4A 之 AA）</w:t>
      </w:r>
    </w:p>
    <w:p>
      <w:pPr>
        <w:pStyle w:val="Heading3"/>
      </w:pPr>
      <w:r>
        <w:t>3.1 分层视图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体验层  Web 控制台 │ 移动端（告警/确认）│ 对话入口 │ 大屏  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网关层  API Gateway（认证/限流/审计）│ MCP Gateway          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智能层  Agent Harness Runtime                                     │</w:t>
        <w:br/>
        <w:t>│         ├ Orchestrator（会诊编排）                                │</w:t>
        <w:br/>
        <w:t>│         ├ Tool Registry（12 个工具）                              │</w:t>
        <w:br/>
        <w:t>│         ├ Memory（设备档案/会话/情节日志）                         │</w:t>
        <w:br/>
        <w:t>│         ├ Guardrails（注入防护/白名单/引用强制）                   │</w:t>
        <w:br/>
        <w:t>│         └ Eval Loop（离线回放 + 在线抽样）                 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领域层  诊断服务 │ 预后服务 │ 决策服务 │ 告警服务 │ 知识服务       │</w:t>
        <w:br/>
        <w:t>│        （SD/HA）   （PA）     （AG）      （路由）    （故障模式）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数据层  时序库(TDengine) │ 关系库(PG) │ 图库(故障知识) │ 对象存储  │</w:t>
        <w:br/>
        <w:t>│         向量库(pgvector) │ 缓存(Redis) │ 消息(Kafka/EMQX)  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接入层  协议适配（Neuron/supOS CE/自研）│ 边缘代理 │ 数据闸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设备层  PLC / 传感器 / 网关 / 老设备（加装）                       │</w:t>
        <w:br/>
        <w:t>└───────────────────────────────────────────────────────────────────┘</w:t>
        <w:br/>
        <w:t>横切：可观测（OTel/Prom/Grafana/Loki）· 安全（IAM/密钥/审计）· 配置中心</w:t>
      </w:r>
    </w:p>
    <w:p>
      <w:pPr>
        <w:pStyle w:val="Heading3"/>
      </w:pPr>
      <w:r>
        <w:t>3.2 服务清单（微服务边界）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服务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技术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独立部署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ingest-gateway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协议接入、归一化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Go / Neuron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asset-registry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统一命名空间、元数据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 FastAPI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ts-writer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时序写入、降采样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高吞吐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feature-engine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特征提取（时域/频域/包络）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 + NumPy/SciPy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可边缘化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diagnosis-engine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SD/HA，规则+模型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插件化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prognosis-engine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插件化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knowledge-service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故障模式库、案例库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 + PG/Neo4j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agent-runtime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Harness 运行时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 asyncio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核心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mcp-server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MCP 工具暴露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 MCP SDK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decision-service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会诊编排、方案卡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核心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alert-service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分级路由、升级、抑制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integration-eam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EAM/MES 适配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防腐层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report-render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HTML/PDF 报告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Node/Python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audit-service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审计链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哈希链</w:t>
            </w:r>
          </w:p>
        </w:tc>
      </w:tr>
    </w:tbl>
    <w:p>
      <w:r>
        <w:rPr>
          <w:b/>
        </w:rPr>
        <w:t>边界原则：</w:t>
      </w:r>
      <w:r>
        <w:rPr>
          <w:b w:val="0"/>
        </w:rPr>
        <w:t xml:space="preserve"> 一个服务一个数据库 schema，禁止跨库 JOIN；跨域通信用事件。</w:t>
      </w:r>
    </w:p>
    <w:p>
      <w:pPr>
        <w:pStyle w:val="Heading3"/>
      </w:pPr>
      <w:r>
        <w:t>3.3 关键架构决策（ADR 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ADR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备选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理由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ADR-001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自研 Harness，不直接用 LangGraph/CrewAI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LangGraph、CrewAI、Hermes Agent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工业场景需要"权限+审计+Stop Hook"一等公民；框架抽象会隐藏关键控制点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开发量 +15%，可控性 +100%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ADR-002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时序库选 TDengine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InfluxDB、TimescaleDB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国产、压缩率高（10:1+）、单机吞吐强、支持降采样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生态较弱，需自建运维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ADR-003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诊断引擎插件化（策略模式 + 注册表）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模型会换（LimiX 许可风险）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需定义稳定接口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ADR-004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会诊用"并行 fan-out + 独立 Evaluator"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单一 Agent 串行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防自说自话；可解释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token 成本 ×4（可接受）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ADR-005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边缘用 K3s，不用 OpenClaw 生产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高频变更不适合产线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失去"自主写代码"能力，用配置替代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ADR-006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原始波形留厂，只传特征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全量上云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合规 + 带宽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云端无法重算，需边缘可回放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ADR-007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MCP 作为唯一对外工具协议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自定义 REST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生态兼容、可被任意 LLM 客户端调用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需做 MCP 网关鉴权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ADR-008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报告用 HTML（非 PDF 优先）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PDF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可交互（缩放频谱）、可嵌入证据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归档需另存 PDF</w:t>
            </w:r>
          </w:p>
        </w:tc>
      </w:tr>
    </w:tbl>
    <w:p>
      <w:pPr>
        <w:ind w:left="360"/>
      </w:pPr>
      <w:r>
        <w:rPr>
          <w:i/>
          <w:color w:val="4A5158"/>
        </w:rPr>
        <w:t>ADR 全文在 Ph1 落地为 docs/adr/ADR-00x.md，每条含"背景-决策-后果-状态"。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数据架构（TOGAF 阶段 C-数据 / 4A 之 DA）</w:t>
      </w:r>
    </w:p>
    <w:p>
      <w:pPr>
        <w:pStyle w:val="Heading3"/>
      </w:pPr>
      <w:r>
        <w:t>4.1 数据分层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存储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保留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ODS 原始层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原始报文、原始波形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对象存储 + 边缘盘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90 天（波形）/ 1 年（报文）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DWD 明细层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清洗后时序、对齐后多源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TDengine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 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DWS 汇总层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小时/日聚合、特征宽表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TDengine + PG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 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ADS 应用层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HI、RUL、告警、方案卡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 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知识层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故障模式、案例、判据、技能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 + 图库 + 向量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永久</w:t>
            </w:r>
          </w:p>
        </w:tc>
      </w:tr>
    </w:tbl>
    <w:p>
      <w:pPr>
        <w:pStyle w:val="Heading3"/>
      </w:pPr>
      <w:r>
        <w:t>4.2 统一命名空间（核心设计）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{site}.{area}.{asset}.{component}.{point}.{quantity}</w:t>
        <w:br/>
        <w:t>例：SZ01.压缩车间.KA-101.驱动端轴承.DE_H.vibration.acc_rms</w:t>
        <w:br/>
        <w:br/>
        <w:t>规则：</w:t>
        <w:br/>
        <w:t>· 全小写，点分隔，6 段固定</w:t>
        <w:br/>
        <w:t>· asset 使用位号（与 P&amp;ID 一致）</w:t>
        <w:br/>
        <w:t>· point 使用 ISO 13373 方位约定（DE/NDE × H/V/A）</w:t>
        <w:br/>
        <w:t>· quantity 使用 UCUM 单位编码</w:t>
      </w:r>
    </w:p>
    <w:p>
      <w:r>
        <w:rPr>
          <w:b/>
        </w:rPr>
        <w:t>为什么重要：</w:t>
      </w:r>
      <w:r>
        <w:rPr>
          <w:b w:val="0"/>
        </w:rPr>
        <w:t xml:space="preserve"> 这是"协议无关"的落地手段。上层永远只认这个路径，换 PLC 不影响任何上层逻辑。</w:t>
      </w:r>
    </w:p>
    <w:p>
      <w:pPr>
        <w:pStyle w:val="Heading3"/>
      </w:pPr>
      <w:r>
        <w:t>4.3 数据流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传感器 ──(4-20mA/IEPE)──► 采集卡 ──(Modbus/OPC UA)──► ingest-gateway</w:t>
        <w:br/>
        <w:t xml:space="preserve">                                                          │</w:t>
        <w:br/>
        <w:t xml:space="preserve">                                    ┌─────────────────────┤</w:t>
        <w:br/>
        <w:t xml:space="preserve">                                    ▼                     ▼</w:t>
        <w:br/>
        <w:t xml:space="preserve">                              原始波形→对象存储     特征值→Kafka→ts-writer→TDengine</w:t>
        <w:br/>
        <w:t xml:space="preserve">                                                          │</w:t>
        <w:br/>
        <w:t xml:space="preserve">                                                          ▼</w:t>
        <w:br/>
        <w:t xml:space="preserve">                                            feature-engine（滑动窗特征）</w:t>
        <w:br/>
        <w:t xml:space="preserve">                                                          │</w:t>
        <w:br/>
        <w:t xml:space="preserve">                                              ┌───────────┴──────────┐</w:t>
        <w:br/>
        <w:t xml:space="preserve">                                              ▼                      ▼</w:t>
        <w:br/>
        <w:t xml:space="preserve">                                     diagnosis-engine         alert-service</w:t>
        <w:br/>
        <w:t xml:space="preserve">                                              │                      │</w:t>
        <w:br/>
        <w:t xml:space="preserve">                                              ▼                      ▼</w:t>
        <w:br/>
        <w:t xml:space="preserve">                                     diagnosis 记录           分级路由/升级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技术架构（TOGAF 阶段 D / 4A 之 TA）</w:t>
      </w:r>
    </w:p>
    <w:p>
      <w:pPr>
        <w:pStyle w:val="Heading3"/>
      </w:pPr>
      <w:r>
        <w:t>5.1 技术栈选型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选型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版本策略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备选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选型理由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Ubuntu 22.04 LTS（中心）/ 麒麟 V10（信创）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统信 UOS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生态 + 信创双轨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容器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Docker + containerd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固定 minor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Podman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成熟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编排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K8s（中心）/ K3s（边缘）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1.30+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边缘资源占用低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GitOps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ArgoCD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Flux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声明式、可回滚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消息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EMQX（MQTT）+ Kafka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NATS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MQTT 工业标配；Kafka 做回放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时序库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TDengine 3.x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TimescaleDB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压缩比、写入吞吐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关系库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PostgreSQL 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达梦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JSONB、pgvector 一体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图库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Neo4j Community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NebulaGraph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故障传播路径查询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向量库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pgvector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Milvus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少一个组件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Redis 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对象存储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MinIO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S3 兼容、可本地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后端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 3.12（算法/Agent）+ Go 1.22（网关/采集）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各取所长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自研 Harness（asyncio）+ MCP SDK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ADR-001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模型网关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LiteLLM Proxy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多模型路由、成本核算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React 18 + TypeScript + ECharts/AntV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Vue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图表能力强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观测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OpenTelemetry + Prometheus + Grafana + Loki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标准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CI/CD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Harness.io（主）+ GitHub Actions（备）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Jenkins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见 docs/09</w:t>
            </w:r>
          </w:p>
        </w:tc>
      </w:tr>
    </w:tbl>
    <w:p>
      <w:pPr>
        <w:pStyle w:val="Heading3"/>
      </w:pPr>
      <w:r>
        <w:t>5.2 部署拓扑（云边协同）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 厂区（OT 域）───────────────────┐</w:t>
        <w:br/>
        <w:t>│                                                    │</w:t>
        <w:br/>
        <w:t>│  [PLC/传感器] ──► [工业交换机] ──► [边缘节点 ×N]    │</w:t>
        <w:br/>
        <w:t>│                                      │ K3s         │</w:t>
        <w:br/>
        <w:t>│                                      │ ingest      │</w:t>
        <w:br/>
        <w:t>│                                      │ feature     │</w:t>
        <w:br/>
        <w:t>│                                      │ 本地诊断     │</w:t>
        <w:br/>
        <w:t>│                                      │ 本地 LLM(可选)│</w:t>
        <w:br/>
        <w:t>│                                      │ 缓存 72h     │</w:t>
        <w:br/>
        <w:t>└──────────────────────────────────────┼─────────────┘</w:t>
        <w:br/>
        <w:t xml:space="preserve">                                       │ 单向数据闸（OT→IT）</w:t>
        <w:br/>
        <w:t>┌──────────────────────────────────────▼─────────────┐</w:t>
        <w:br/>
        <w:t>│                   厂区 IT 域 / 私有云               │</w:t>
        <w:br/>
        <w:t>│  [API 网关] ─ [agent-runtime] ─ [decision-service]  │</w:t>
        <w:br/>
        <w:t>│  [TDengine] [PG] [MinIO] [Kafka] [Neo4j]           │</w:t>
        <w:br/>
        <w:t>│  [Grafana] [Loki] [ArgoCD]                         │</w:t>
        <w:br/>
        <w:t>└──────────────────────────────────────┬─────────────┘</w:t>
        <w:br/>
        <w:t xml:space="preserve">                                       │（不出厂，仅运维通道）</w:t>
        <w:br/>
        <w:t xml:space="preserve">                                   [运维 VPN]</w:t>
      </w:r>
    </w:p>
    <w:p>
      <w:r>
        <w:rPr>
          <w:b/>
        </w:rPr>
        <w:t>关键设计：</w:t>
      </w:r>
    </w:p>
    <w:p>
      <w:pPr>
        <w:pStyle w:val="ListBullet"/>
        <w:ind w:left="360"/>
      </w:pPr>
      <w:r>
        <w:rPr>
          <w:b w:val="0"/>
        </w:rPr>
        <w:t>数据闸</w:t>
      </w:r>
      <w:r>
        <w:rPr>
          <w:b/>
        </w:rPr>
        <w:t>单向</w:t>
      </w:r>
      <w:r>
        <w:rPr>
          <w:b w:val="0"/>
        </w:rPr>
        <w:t>（OT→IT），反向仅允许运维白名单端口。</w:t>
      </w:r>
    </w:p>
    <w:p>
      <w:pPr>
        <w:pStyle w:val="ListBullet"/>
        <w:ind w:left="360"/>
      </w:pPr>
      <w:r>
        <w:rPr>
          <w:b w:val="0"/>
        </w:rPr>
        <w:t>边缘节点</w:t>
      </w:r>
      <w:r>
        <w:rPr>
          <w:b/>
        </w:rPr>
        <w:t>自治</w:t>
      </w:r>
      <w:r>
        <w:rPr>
          <w:b w:val="0"/>
        </w:rPr>
        <w:t>：中心挂了不影响本地诊断与告警。</w:t>
      </w:r>
    </w:p>
    <w:p>
      <w:pPr>
        <w:pStyle w:val="ListBullet"/>
        <w:ind w:left="360"/>
      </w:pPr>
      <w:r>
        <w:rPr>
          <w:b w:val="0"/>
        </w:rPr>
        <w:t>模型更新走"边缘拉取 + 灰度"，不推。</w:t>
      </w:r>
    </w:p>
    <w:p>
      <w:pPr>
        <w:pStyle w:val="Heading3"/>
      </w:pPr>
      <w:r>
        <w:t>5.3 容量规划（20 台设备基线）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规格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边缘节点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8C/32G/512G SSD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3（按车间）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中心 K8s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16C/64G × 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集群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TDengine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8C/32G/1T SSD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3（副本）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GPU（可选）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L4 / 4090 × 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1（本地推理）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 TB 可用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C4 模型（关键视图）</w:t>
      </w:r>
    </w:p>
    <w:p>
      <w:pPr>
        <w:pStyle w:val="Heading3"/>
      </w:pPr>
      <w:r>
        <w:t>6.1 Context（系统上下文）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[设备工程师]      [维修班长]      [设备科长]</w:t>
        <w:br/>
        <w:t xml:space="preserve">              \              |              /</w:t>
        <w:br/>
        <w:t xml:space="preserve">               \             ▼             /</w:t>
        <w:br/>
        <w:t xml:space="preserve">                ┌───────────────────────┐</w:t>
        <w:br/>
        <w:t xml:space="preserve">   [EAM/CMMS] ──┤   谛听 PdM 平台        ├── [MES/排产]</w:t>
        <w:br/>
        <w:t xml:space="preserve">                └───────────┬───────────┘</w:t>
        <w:br/>
        <w:t xml:space="preserve">                            │</w:t>
        <w:br/>
        <w:t xml:space="preserve">                   [PLC/SCADA/传感器]</w:t>
        <w:br/>
        <w:t xml:space="preserve">                            │</w:t>
        <w:br/>
        <w:t xml:space="preserve">                     [大模型服务（本地/私有）]</w:t>
      </w:r>
    </w:p>
    <w:p>
      <w:pPr>
        <w:pStyle w:val="Heading3"/>
      </w:pPr>
      <w:r>
        <w:t>6.2 Container（容器视图）</w:t>
      </w:r>
    </w:p>
    <w:p>
      <w:r>
        <w:rPr>
          <w:b w:val="0"/>
        </w:rPr>
        <w:t>见 §3.1 分层视图；容器间通信：同步用 gRPC/REST，异步用 Kafka/MQTT。</w:t>
      </w:r>
    </w:p>
    <w:p>
      <w:pPr>
        <w:pStyle w:val="Heading3"/>
      </w:pPr>
      <w:r>
        <w:t>6.3 Component（组件视图 · agent-runtime）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agent-runtime</w:t>
        <w:br/>
        <w:t>├── LoopController        主循环（状态机）</w:t>
        <w:br/>
        <w:t>├── ContextBuilder        上下文装配（系统提示/技能/证据）</w:t>
        <w:br/>
        <w:t>├── ToolRegistry          工具注册与发现</w:t>
        <w:br/>
        <w:t>├── PermissionGate        allow/ask/deny 判定</w:t>
        <w:br/>
        <w:t>├── SandboxExecutor       沙箱执行（只读数据+CPU限额）</w:t>
        <w:br/>
        <w:t>├── MemoryStore           三层记忆</w:t>
        <w:br/>
        <w:t>├── HookChain             pre/post/stop hooks</w:t>
        <w:br/>
        <w:t>├── Tracer                OTel span</w:t>
        <w:br/>
        <w:t>└── CostMeter             token/费用计量</w:t>
      </w:r>
    </w:p>
    <w:p>
      <w:pPr>
        <w:pStyle w:val="Heading3"/>
      </w:pPr>
      <w:r>
        <w:t>6.4 Code（代码视图）</w:t>
      </w:r>
    </w:p>
    <w:p>
      <w:r>
        <w:rPr>
          <w:b w:val="0"/>
        </w:rPr>
        <w:t xml:space="preserve">见 </w:t>
      </w:r>
      <w:r>
        <w:rPr>
          <w:rFonts w:ascii="Consolas" w:hAnsi="Consolas"/>
          <w:b w:val="0"/>
          <w:color w:val="0B4F75"/>
          <w:sz w:val="19"/>
        </w:rPr>
        <w:t>docs/09 §3</w:t>
      </w:r>
      <w:r>
        <w:rPr>
          <w:b w:val="0"/>
        </w:rPr>
        <w:t xml:space="preserve"> 仓库结构。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架构治理（TOGAF 阶段 G 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机制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频率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架构评审委员会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架构师 + 设备专家 + 安全 + 平台负责人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每个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ADR 机制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每个重大决策一页纸，纳入版本库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技术债登记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记录已知妥协与偿还计划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合规检查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对照 docs/12 标准矩阵逐条核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每阶段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架构契约测试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服务间接口契约测试（Pact 类）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 CI</w:t>
            </w:r>
          </w:p>
        </w:tc>
      </w:tr>
    </w:tbl>
    <w:p>
      <w:r>
        <w:rPr>
          <w:b/>
        </w:rPr>
        <w:t>架构例外流程：</w:t>
      </w:r>
      <w:r>
        <w:rPr>
          <w:b w:val="0"/>
        </w:rPr>
        <w:t xml:space="preserve"> 任何违反 P1–P8 原则的设计，必须提交"例外申请"，说明理由、风险、补偿措施、失效期，由架构委员会批准。</w:t>
      </w:r>
      <w:r>
        <w:rPr>
          <w:b/>
        </w:rPr>
        <w:t>没有例外流程的原则等于没有原则。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