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 · 全链路性能架构与技术栈选型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实测基准（2026-10-21）；ADR-013 修订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诊断接口 P95 ≤ 200 ms（缓存命中）、≤ 800 ms（缓存穿透），单实例 ≥ 3000 req/s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技术栈替换</w:t>
      </w:r>
    </w:p>
    <w:p>
      <w:pPr>
        <w:pStyle w:val="Heading3"/>
      </w:pPr>
      <w:r>
        <w:t>1.1 Python 服务层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原方案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新方案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Web 框架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FastAPI（Starlette）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 2.25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路由/DI/序列化链路更薄；原生 msgspec；OpenAPI 不缺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ASGI 服务器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uvicorn（h11）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Granian 2.x（Rust/Hyper）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HTTP 解析与连接管理下沉到 Rust，同 worker 数吞吐更高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数据校验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pydantic v2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msgspec 0.22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 侧编解码，零 dict，内存与延迟双降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CPU 密集调度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同步阻塞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asyncio.to_thread + 线程池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numpy 在 C 层释放 GIL，避免阻塞事件循环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L1 进程内 TTL + L2 Redis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见 §2</w:t>
            </w:r>
          </w:p>
        </w:tc>
      </w:tr>
    </w:tbl>
    <w:p>
      <w:pPr>
        <w:ind w:left="360"/>
      </w:pPr>
      <w:r>
        <w:rPr>
          <w:i/>
          <w:color w:val="4A5158"/>
        </w:rPr>
        <w:t>保留 uvicorn 作为本地对照与降级启动方式（同一 app 可被两者加载），不作为生产默认。</w:t>
      </w:r>
    </w:p>
    <w:p>
      <w:pPr>
        <w:pStyle w:val="Heading3"/>
      </w:pPr>
      <w:r>
        <w:t>1.2 实测基准（同一 Litestar 应用，仅换服务器）</w:t>
      </w:r>
    </w:p>
    <w:p>
      <w:r>
        <w:rPr>
          <w:b w:val="0"/>
        </w:rPr>
        <w:t>环境：Windows 11 开发机，2 workers，1500 请求，并发 40，请求体为无波形指标（命中缓存）。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服务器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吞吐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P50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P95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错误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Granian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717 req/s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37.1 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158.1 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uvicorn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590 req/s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42.8 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185.3 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差异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+21.5%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−13%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−14.7%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b w:val="0"/>
        </w:rPr>
        <w:t>缓存统计：</w:t>
      </w:r>
      <w:r>
        <w:rPr>
          <w:rFonts w:ascii="Consolas" w:hAnsi="Consolas"/>
          <w:b w:val="0"/>
          <w:color w:val="0B4F75"/>
          <w:sz w:val="19"/>
        </w:rPr>
        <w:t>hit_rate = 0.9994</w:t>
      </w:r>
      <w:r>
        <w:rPr>
          <w:b w:val="0"/>
        </w:rPr>
        <w:t>（1549 命中 / 1 未命中），L2 未启用（测试环境无 Redis，自动降级）。</w:t>
      </w:r>
    </w:p>
    <w:p>
      <w:r>
        <w:rPr>
          <w:b/>
        </w:rPr>
        <w:t>诚实说明：</w:t>
      </w:r>
    </w:p>
    <w:p>
      <w:pPr>
        <w:pStyle w:val="ListBullet"/>
        <w:ind w:left="360"/>
      </w:pPr>
      <w:r>
        <w:rPr>
          <w:b w:val="0"/>
        </w:rPr>
        <w:t>这是开发机 + 缓存命中路径，</w:t>
      </w:r>
      <w:r>
        <w:rPr>
          <w:b/>
        </w:rPr>
        <w:t>不代表生产数字</w:t>
      </w:r>
      <w:r>
        <w:rPr>
          <w:b w:val="0"/>
        </w:rPr>
        <w:t>。Linux + 更多 worker + 真实波形解析会拉开更大差距（HTTP 层占比更高时 Granian 优势更明显）。</w:t>
      </w:r>
    </w:p>
    <w:p>
      <w:pPr>
        <w:pStyle w:val="ListBullet"/>
        <w:ind w:left="360"/>
      </w:pPr>
      <w:r>
        <w:rPr>
          <w:b w:val="0"/>
        </w:rPr>
        <w:t>缓存命中率 99.94% 是压测特征（同一请求），真实场景预计 60%–80%（多设备、多时间窗）。</w:t>
      </w:r>
    </w:p>
    <w:p>
      <w:pPr>
        <w:pStyle w:val="ListBullet"/>
        <w:ind w:left="360"/>
      </w:pPr>
      <w:r>
        <w:rPr>
          <w:b w:val="0"/>
        </w:rPr>
        <w:t xml:space="preserve">生产验收指标以 </w:t>
      </w:r>
      <w:r>
        <w:rPr>
          <w:rFonts w:ascii="Consolas" w:hAnsi="Consolas"/>
          <w:b w:val="0"/>
          <w:sz w:val="19"/>
        </w:rPr>
        <w:t>docs/08</w:t>
      </w:r>
      <w:r>
        <w:rPr>
          <w:b w:val="0"/>
        </w:rPr>
        <w:t xml:space="preserve"> 的性能测试为准，本表只用于证明"选型方向正确"。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多级缓存设计</w:t>
      </w:r>
    </w:p>
    <w:p>
      <w:pPr>
        <w:pStyle w:val="Heading3"/>
      </w:pPr>
      <w:r>
        <w:t>2.1 三层结构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请求</w:t>
        <w:br/>
        <w:t xml:space="preserve"> │</w:t>
        <w:br/>
        <w:t xml:space="preserve"> ├─► L1 进程内（TTLCache，16 分片，8192 条，TTL 30s）</w:t>
        <w:br/>
        <w:t xml:space="preserve"> │     命中：~1–5 μs，无网络</w:t>
        <w:br/>
        <w:t xml:space="preserve"> │</w:t>
        <w:br/>
        <w:t xml:space="preserve"> ├─► L2 Redis（TTL 120s，socket 超时 0.2s）</w:t>
        <w:br/>
        <w:t xml:space="preserve"> │     命中：~0.3–1 ms，回填 L1</w:t>
        <w:br/>
        <w:t xml:space="preserve"> │</w:t>
        <w:br/>
        <w:t xml:space="preserve"> └─► 计算（numpy/scipy，5–50 ms）</w:t>
      </w:r>
    </w:p>
    <w:p>
      <w:pPr>
        <w:pStyle w:val="Heading3"/>
      </w:pPr>
      <w:r>
        <w:t>2.2 关键设计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设计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分片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避免单字典锁竞争；单 key 命中不受全局影响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TTL（L1）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健康状态是时效数据，宁可多算不可给旧结论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TTL（L2）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跨实例共享，容忍度略高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容量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8192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约 20 基地 × 400 设备的热点集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请求语义指纹（SHA-256 前 32 位）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剔除 trace_id/时间戳，同语义必命中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降级结果不缓存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cacheable = not degraded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否则数据恢复后仍返回"数据不足"，属于缓存放大故障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L2 故障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捕获所有异常，计 l2_errors，继续走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缓存不得影响主流程</w:t>
            </w:r>
          </w:p>
        </w:tc>
      </w:tr>
    </w:tbl>
    <w:p>
      <w:pPr>
        <w:pStyle w:val="Heading3"/>
      </w:pPr>
      <w:r>
        <w:t>2.3 缓存键的构造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"tenant": "site-a", "asset": "KA-101",</w:t>
        <w:br/>
        <w:t xml:space="preserve">  "metrics": {"vib": 4.0, "base": 2.0, "k": 6.5, "t": 68.0, "tb": 55.0, "c": 3.0, "tr": 1.2},</w:t>
        <w:br/>
        <w:t xml:space="preserve">  "wave": null,          # 有波形时只取 fs/rpm/样本数/轴承几何，不哈希全部样本</w:t>
        <w:br/>
        <w:t xml:space="preserve">  "model": "rules-v0.2.0"</w:t>
        <w:br/>
        <w:t>}</w:t>
      </w:r>
    </w:p>
    <w:p>
      <w:r>
        <w:rPr>
          <w:b/>
        </w:rPr>
        <w:t>为什么不对波形样本做哈希</w:t>
      </w:r>
      <w:r>
        <w:rPr>
          <w:b w:val="0"/>
        </w:rPr>
        <w:t>：一次 25600 点哈希约 0.3 ms，比计算本身还贵；且同一设备的相邻波形本就不同，命中率极低。用"几何 + 采样参数"做粗粒度键，配合短 TTL 即可。</w:t>
      </w:r>
    </w:p>
    <w:p>
      <w:pPr>
        <w:pStyle w:val="Heading3"/>
      </w:pPr>
      <w:r>
        <w:t>2.4 缓存穿透与雪崩防护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穿透（大量不存在的 key）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计算前先校验租户与设备存在性（后续接资产服务）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雪崩（同时过期）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TTL 加 ±10% 抖动（待实现，见 §5）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击穿（热点 key 过期瞬间）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单实例内用 asyncio.Lock 做 key 级互斥（待实现）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其他语言的高性能选型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语言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原计划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最终选型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Rust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axum（未定）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axum + tokio + tower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生态最成熟；tower 中间件可复用限流/超时/重试；与 tonic（gRPC）同源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Rust 序列化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serde_json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simd-json（热路径）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波形与特征批量解析，SIMD 加速 2–4 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标准库 net/http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chi（路由）+ 标准库 http；高吞吐场景用 fasthttp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chi 零分配路由且兼容 net/http；fasthttp 仅在纯转发场景用（不兼容标准接口）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Go GraphQL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手写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gqlgen（代码生成）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编译期类型安全，无反射开销；支持 DataLoader 防 N+1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Go 序列化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encoding/json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bytedance/sonic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兼容 encoding/json API，性能 2–3 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Java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Spring Boot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Spring Boot 3 + 虚拟线程（Loom）；网关类用 Vert.x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虚拟线程解决阻塞 I/O 的线程成本；Vert.x 用于事件总线消费的高并发场景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Java 序列化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Jackson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Jackson + afterburner 模块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减少反射开销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消息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Kafka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Pulsar（已存在）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多租户 namespace + 分层存储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全链路延迟预算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 P95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手段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边缘采集 → 特征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200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DSP，单线程批处理，零拷贝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特征 → 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50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生产者批量 + 异步确认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事件 → 诊断服务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100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消费者预取 + 常驻连接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诊断计算（缓存穿透）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500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numpy 向量化；包络谱限制在 1–10 kHz 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诊断计算（缓存命中）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 → 读模型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3 s（最终一致）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投影器批量写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GraphQL 首屏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800 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DataLoader 批量 + 字段级懒加载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告警送达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60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直连推送，不走轮询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待落地的性能项（Ph1–Ph2）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预期收益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TTL 抖动 + key 级互斥锁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消除雪崩/击穿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波形计算走 Rust DSP 服务（gRPC）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包络谱从 40 ms → 8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特征值批量写入 TDengine（批 500 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写吞吐 ×5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GraphQL DataLoader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首屏 6 次往返 → 1 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HTTP/2 + keep-alive + gzip/br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弱网首屏 −30%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消费者批量确认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消费吞吐 ×3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Redis 集群模式（当前单实例）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消除单点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对象存储直传（预签名 URL）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波形上传不占应用带宽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低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性能纪律（写进 CI）</w:t>
      </w:r>
    </w:p>
    <w:p>
      <w:pPr>
        <w:pStyle w:val="ListNumber"/>
        <w:ind w:left="360"/>
      </w:pPr>
      <w:r>
        <w:rPr>
          <w:b w:val="0"/>
        </w:rPr>
        <w:t xml:space="preserve">任何 PR 若使 </w:t>
      </w:r>
      <w:r>
        <w:rPr>
          <w:rFonts w:ascii="Consolas" w:hAnsi="Consolas"/>
          <w:b w:val="0"/>
          <w:sz w:val="19"/>
        </w:rPr>
        <w:t>tools/bench.py</w:t>
      </w:r>
      <w:r>
        <w:rPr>
          <w:b w:val="0"/>
        </w:rPr>
        <w:t xml:space="preserve"> 的 P95 劣化 &gt; 20%，</w:t>
      </w:r>
      <w:r>
        <w:rPr>
          <w:b/>
        </w:rPr>
        <w:t>阻断合并</w:t>
      </w:r>
      <w:r>
        <w:rPr>
          <w:b w:val="0"/>
        </w:rPr>
        <w:t>。</w:t>
      </w:r>
    </w:p>
    <w:p>
      <w:pPr>
        <w:pStyle w:val="ListNumber"/>
        <w:ind w:left="360"/>
      </w:pPr>
      <w:r>
        <w:rPr>
          <w:b w:val="0"/>
        </w:rPr>
        <w:t>新增依赖必须说明"为什么不能用现有组件"，避免技术栈膨胀。</w:t>
      </w:r>
    </w:p>
    <w:p>
      <w:pPr>
        <w:pStyle w:val="ListNumber"/>
        <w:ind w:left="360"/>
      </w:pPr>
      <w:r>
        <w:rPr>
          <w:b w:val="0"/>
        </w:rPr>
        <w:t xml:space="preserve">缓存键变更必须同步更新 </w:t>
      </w:r>
      <w:r>
        <w:rPr>
          <w:rFonts w:ascii="Consolas" w:hAnsi="Consolas"/>
          <w:b w:val="0"/>
          <w:sz w:val="19"/>
        </w:rPr>
        <w:t>cache_key_payload</w:t>
      </w:r>
      <w:r>
        <w:rPr>
          <w:b w:val="0"/>
        </w:rPr>
        <w:t xml:space="preserve"> 的版本号，避免新旧结果混用。</w:t>
      </w:r>
    </w:p>
    <w:p>
      <w:pPr>
        <w:pStyle w:val="ListNumber"/>
        <w:ind w:left="360"/>
      </w:pPr>
      <w:r>
        <w:rPr>
          <w:b w:val="0"/>
        </w:rPr>
        <w:t>禁止在请求路径上做全表扫描、禁止在 JSON 字段上过滤（TiDB 无 GIN）。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