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决策基线（Decision Baseline）</w:t>
      </w:r>
    </w:p>
    <w:p>
      <w:pPr>
        <w:ind w:left="360"/>
      </w:pPr>
      <w:r>
        <w:rPr>
          <w:i/>
          <w:color w:val="4A5158"/>
        </w:rPr>
        <w:t>本文件是唯一有效的决策记录。文档中的"建议值"一律以本文件为准。 确认时间：2026-10-21 ｜ 状态：已确认，进入实施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一、已确认决策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决策点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你的决定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与建议的差异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实施影响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首期场景范围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总部 + 2 个基地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采纳建议（更激进）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Ph1 即需多租户 + 联邦，工期 +2 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数据边界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国内基地数据全部出厂；国外基地波形留厂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部分偏离（更开放）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需按"国内/海外"双策略；海外波形强制本地，仅特征值上行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设备接入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OPC UA 网关为主 + 加装传感器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采纳建议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Rust 采集优先实现 OPC UA Client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诊断模型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三条路线并行对比（经典特征 / LimiX / 时序基础模型）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偏离（成本 ×3）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Ph2 需 3 套评测流水线；需模型对比看板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大模型部署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混合：本地为主 + 云端润色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采纳建议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需双链路 + 脱敏网关 + 云端不可见原始数据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写操作边界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可下备件采购单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偏离（风险最高）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见下方"红线条款"，必须强制护栏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部署形态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中心集群 + 20 基地边缘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采纳建议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Rancher Fleet 纳管边缘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系统集成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EAM + MES 同时集成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偏离（工期 +3 周）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需两套适配器 + 排产实时接口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合规等级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等保三级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采纳建议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四区三管道 + 审计链 + 定级测评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周期/团队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暂定 24 周 / 8 人（未选，按扩展范围推定）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推定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若维持 16 周需砍 D4/D6/D8 之一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D23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关系型主库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全用 TiDB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偏离（风险高）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见下方"TiDB 前置条件"，必须先修</w:t>
            </w:r>
          </w:p>
        </w:tc>
      </w:tr>
    </w:tbl>
    <w:p>
      <w:pPr>
        <w:pStyle w:val="Heading2"/>
      </w:pPr>
      <w:r>
        <w:t>二、沿用建议值（未单独询问，按 docs/13 §6 默认）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决策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取值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首期范围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由 D1 覆盖（总部+2 基地）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 基地口径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按"国内 / 海外"双域设计，具体数量待 C1 回收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供应商接入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数据上报起步，入驻工单二期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事件总线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Pulsar（集群已有）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读侧分析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TiDB + TiFlash（集群已有）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GraphQL 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自研 Go 网关（Apollo Router 形态）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DDD 落点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诊断/决策域厚建模，监测域薄层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Rust 范围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协议解析 + DSP 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集群凭据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root 免密已可用；中间件账号待提供（docs/16 §5 I1–I4）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海外合规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原始数据本地化，仅脱敏特征值上行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汽车行业预留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行业包 SPI 框架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多语言构建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统一流水线 + 统一门禁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TiDB 是否先修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必须先修（OOM 是事实，不是风险）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波形存储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国内：中心留 7 天热数据；海外：仅边缘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三、红线条款（因 D6 = 可下备件采购，强制生效）</w:t>
      </w:r>
    </w:p>
    <w:p>
      <w:pPr>
        <w:ind w:left="360"/>
      </w:pPr>
      <w:r>
        <w:rPr>
          <w:i/>
          <w:color w:val="4A5158"/>
        </w:rPr>
        <w:t>采购是花钱且不可完全回滚的动作。放开可以，但必须用制度换安全。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护栏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实现要求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金额分级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¥5,000：单人确认；¥5,000–50,000：双人复核；&gt; ¥50,000：禁止自动，必须走集团采购流程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白名单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仅允许向"已入围供应商 + 已签框架协议"下单，白名单由采购部维护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预算闸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每基地每月自动采购总额上限（默认 ¥20 万），超限自动转人工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可撤销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所有采购单必须支持 24 小时内撤销，且撤销动作本身留痕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幂等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幂等键 = recommendation_id + sku，重复调用不产生第二单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回执校验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无供应商系统回执号，不得标记"已下单"（Stop Hook 拦截）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审计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记录发起人、确认人、金额、SKU、供应商、回执号、trace_id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熔断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同一 SKU 24 小时内下单 ≥ 3 次，自动熔断并告警</w:t>
            </w:r>
          </w:p>
        </w:tc>
      </w:tr>
    </w:tbl>
    <w:p>
      <w:r>
        <w:rPr>
          <w:b/>
        </w:rPr>
        <w:t>若上述 R1–R8 任一无法实现，D6 必须降级为"仅生成采购申请草稿"。</w:t>
      </w:r>
      <w:r>
        <w:rPr>
          <w:b w:val="0"/>
        </w:rPr>
        <w:t xml:space="preserve"> 这不是商量，是内控底线。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四、TiDB 前置条件（因 D23 = 全用 TiDB，强制生效）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不满足的后果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修复 TiKV OOM：提高 memory limit、核查 88 次重启根因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主库随时被打挂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扩容存储：TiKV 从 10Gi/节点扩到 ≥ 100Gi/节点（local-path 需重建 PVC，建议改 NFS）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 基地数据 3 个月内写满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多租户隔离补偿：TenantQueryBuilder + 视图 + 结果断言 + CI 越权测试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基地间数据串号，等保三级不通过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JSON 查询补偿：高频 JSON 字段抽为生成列并建索引（TiDB 无 GIN）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报告查询全表扫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备份策略：BR 全备 + 日志备份，RPO ≤ 5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事故无法恢复</w:t>
            </w:r>
          </w:p>
        </w:tc>
      </w:tr>
    </w:tbl>
    <w:p>
      <w:r>
        <w:rPr>
          <w:b/>
        </w:rPr>
        <w:t>P1–P3 是 Ph1 的 Gate 条件，不通过不进入 Ph2。</w:t>
      </w:r>
    </w:p>
    <w:p>
      <w:pPr>
        <w:pStyle w:val="Heading3"/>
      </w:pPr>
      <w:r>
        <w:t>四之一、前置条件完成情况（2026-10-21 更新）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修复 TiKV OOM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完成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 因 1 链定位，9 项修复，8 Pod 全 Running（docs/18）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扩容存储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完成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TiKV 10Gi → 200Gi/副本，PD 20Gi，TiFlash 100Gi（docs/20）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多租户补偿层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⚠️ 部分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服务层租户守卫已实现并测试；TenantQueryBuilder 待接库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JSON 生成列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⏳ 待做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建表已把 level 等热字段抽为独立列，高频 JSON 尚未建索引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备份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❌ 未做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仍是最紧急缺口，需部署 BR 定时备份</w:t>
            </w:r>
          </w:p>
        </w:tc>
      </w:tr>
    </w:tbl>
    <w:p>
      <w:pPr>
        <w:ind w:left="360"/>
      </w:pPr>
      <w:r>
        <w:rPr>
          <w:i/>
          <w:color w:val="4A5158"/>
        </w:rPr>
        <w:t>P1/P2 已满足，D23（全用 TiDB）从"有条件接受"转为"可执行"。P5 未完成前，不得承载任何不可重建的数据。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五、由此产生的架构最终形态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存储：</w:t>
        <w:br/>
        <w:t xml:space="preserve">  TiDB（事务 + 读模型，TiKV 行存 + TiFlash 列存）  ← D23</w:t>
        <w:br/>
        <w:t xml:space="preserve">  TDengine（时序特征值）                            ← 不变，TiDB 不擅此道</w:t>
        <w:br/>
        <w:t xml:space="preserve">  MinIO / NFS（波形、报告、模型）</w:t>
        <w:br/>
        <w:t xml:space="preserve">  Redis / Milvus / Nebula（复用）</w:t>
        <w:br/>
        <w:br/>
        <w:t>通信：Pulsar（事件） + gRPC（同步） + GraphQL（前端聚合）</w:t>
        <w:br/>
        <w:t>部署：中心集群（10.167.2.175/176） + 20 基地 K3s 边缘（Fleet 纳管）</w:t>
        <w:br/>
        <w:t>语言：Rust（采集/DSP）· Go（事件/BFF/告警）· Java（资产/知识/集成）· Python（算法/Agent）</w:t>
        <w:br/>
        <w:t>范围：总部 + 2 基地 · EAM+MES · 备件采购（带 8 条护栏）· 三模型并行</w:t>
        <w:br/>
        <w:t>周期：24 周 / 8 人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六、未回收的事实（阻塞项，仍需你提供）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事项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阻塞什么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 基地国内外分布与首期 2 个基地是哪两个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联邦部署与数据主权分域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首期基地设备数量与协议清单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采集工作量与边缘规格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现有 ERP/EAM/MES 具体产品与接口文档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Java 集成层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供应商名单与是否可接入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供应商域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I1–I4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 tenant 权限、TiDB 账号、pdm-prod 命名空间、worker1 磁盘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基础设施施工</w:t>
            </w:r>
          </w:p>
        </w:tc>
      </w:tr>
    </w:tbl>
    <w:p>
      <w:pPr>
        <w:ind w:left="360"/>
      </w:pPr>
      <w:r>
        <w:rPr>
          <w:i/>
          <w:color w:val="4A5158"/>
        </w:rPr>
        <w:t>这五项不解决，Ph1 只能做"代码骨架 + 单机验证"，无法真正部署到集群。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