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06 · 接口与集成规范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文档编号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DT-PdM-06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依据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MCP 规范；OpenAPI 3.1；CloudEvents 1.0；OPC UA IEC 62541；ISO 13374-2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版本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v0.1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接口全景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类别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协议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方向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用途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鉴权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设备接入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OPC UA / Modbus TCP / MQTT / S7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拉/订阅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采集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证书 / 白名单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边缘→中心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MQTT + HTTPS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上行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特征值、事件、结论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mTLS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服务间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gRPC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同步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内部调用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mTLS + SPIFFE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服务间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Kafka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异步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事件、回放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SASL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Agent→工具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MCP (JSON-RPC 2.0)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同步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工具调用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OAuth2 / mTLS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前端→后端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REST (OpenAPI 3.1)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同步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OIDC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平台→EAM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REST / SOAP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双向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工单、备件、台账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API Key + IP 白名单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平台→MES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REST / 数据库视图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只读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排产计划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只读账号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告警外发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Webhook / 企业微信 / 短信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单向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通知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签名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设备接入规范</w:t>
      </w:r>
    </w:p>
    <w:p>
      <w:pPr>
        <w:pStyle w:val="Heading3"/>
      </w:pPr>
      <w:r>
        <w:t>2.1 统一测点路径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{site}.{area}.{asset}.{component}.{point}.{quantity}</w:t>
        <w:br/>
        <w:t>SZ01.压缩车间.KA-101.驱动端轴承.DE_H.vibration.acc_rms</w:t>
      </w:r>
    </w:p>
    <w:p>
      <w:pPr>
        <w:pStyle w:val="Heading3"/>
      </w:pPr>
      <w:r>
        <w:t>2.2 OPC UA 信息模型映射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OPC UA 节点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本项目实体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Object（Device）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Asset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Object（SubComponent）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Component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Variable（Sensor）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MeasurementPoint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Variable.Value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Series.value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Variable.SourceTimestamp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Series.ts（UTC ms）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Property（EngineeringUnits）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point.unit</w:t>
            </w:r>
          </w:p>
        </w:tc>
      </w:tr>
    </w:tbl>
    <w:p>
      <w:r>
        <w:rPr>
          <w:b/>
        </w:rPr>
        <w:t>要求：</w:t>
      </w:r>
      <w:r>
        <w:rPr>
          <w:b w:val="0"/>
        </w:rPr>
        <w:t xml:space="preserve"> 优先使用 OPC UA 的 </w:t>
      </w:r>
      <w:r>
        <w:rPr>
          <w:rFonts w:ascii="Consolas" w:hAnsi="Consolas"/>
          <w:b w:val="0"/>
          <w:color w:val="0B4F75"/>
          <w:sz w:val="19"/>
        </w:rPr>
        <w:t>ServerCapabilities</w:t>
      </w:r>
      <w:r>
        <w:rPr>
          <w:b w:val="0"/>
        </w:rPr>
        <w:t xml:space="preserve"> + </w:t>
      </w:r>
      <w:r>
        <w:rPr>
          <w:rFonts w:ascii="Consolas" w:hAnsi="Consolas"/>
          <w:b w:val="0"/>
          <w:color w:val="0B4F75"/>
          <w:sz w:val="19"/>
        </w:rPr>
        <w:t>NodeSet2.xml</w:t>
      </w:r>
      <w:r>
        <w:rPr>
          <w:b w:val="0"/>
        </w:rPr>
        <w:t xml:space="preserve"> 做自动发现，避免手工配点。</w:t>
      </w:r>
    </w:p>
    <w:p>
      <w:pPr>
        <w:pStyle w:val="Heading3"/>
      </w:pPr>
      <w:r>
        <w:t>2.3 MQTT Topic 规范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上行：pdm/{site}/{area}/{asset_id}/telemetry       QoS1, 批量 100 点/包</w:t>
        <w:br/>
        <w:t xml:space="preserve">      pdm/{site}/{area}/{asset_id}/waveform        QoS1, 二进制（protobuf）</w:t>
        <w:br/>
        <w:t xml:space="preserve">      pdm/{site}/{area}/{asset_id}/event           QoS2, JSON</w:t>
        <w:br/>
        <w:t>下行：pdm/{site}/{area}/{asset_id}/cmd/config      QoS1, 仅配置（非控制）</w:t>
      </w:r>
    </w:p>
    <w:p>
      <w:pPr>
        <w:pStyle w:val="Heading3"/>
      </w:pPr>
      <w:r>
        <w:t>2.4 波形二进制格式（protobuf 示意）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message WaveformPacket {</w:t>
        <w:br/>
        <w:t xml:space="preserve">  string mp_id       = 1;</w:t>
        <w:br/>
        <w:t xml:space="preserve">  int64  ts_start_ms = 2;</w:t>
        <w:br/>
        <w:t xml:space="preserve">  uint32 sample_rate = 3;</w:t>
        <w:br/>
        <w:t xml:space="preserve">  uint32 channels    = 4;</w:t>
        <w:br/>
        <w:t xml:space="preserve">  repeated float samples = 5 [packed = true];   // 交错存储</w:t>
        <w:br/>
        <w:t xml:space="preserve">  string trigger     = 6;   // scheduled | threshold | manual</w:t>
        <w:br/>
        <w:t xml:space="preserve">  uint32 quality     = 7;   // 0-100</w:t>
        <w:br/>
        <w:t xml:space="preserve">  string unit        = 8;</w:t>
        <w:br/>
        <w:t>}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MCP 工具规范（Agent 对外能力）</w:t>
      </w:r>
    </w:p>
    <w:p>
      <w:pPr>
        <w:pStyle w:val="Heading3"/>
      </w:pPr>
      <w:r>
        <w:t>3.1 通用约定</w:t>
      </w:r>
    </w:p>
    <w:p>
      <w:pPr>
        <w:pStyle w:val="ListBullet"/>
        <w:ind w:left="360"/>
      </w:pPr>
      <w:r>
        <w:rPr>
          <w:b w:val="0"/>
        </w:rPr>
        <w:t>协议：MCP over stdio（本地）/ Streamable HTTP（远程）</w:t>
      </w:r>
    </w:p>
    <w:p>
      <w:pPr>
        <w:pStyle w:val="ListBullet"/>
        <w:ind w:left="360"/>
      </w:pPr>
      <w:r>
        <w:rPr>
          <w:b w:val="0"/>
        </w:rPr>
        <w:t>每个工具必须声明：</w:t>
      </w:r>
      <w:r>
        <w:rPr>
          <w:rFonts w:ascii="Consolas" w:hAnsi="Consolas"/>
          <w:b w:val="0"/>
          <w:sz w:val="19"/>
        </w:rPr>
        <w:t>name</w:t>
      </w:r>
      <w:r>
        <w:rPr>
          <w:b w:val="0"/>
        </w:rPr>
        <w:t>、</w:t>
      </w:r>
      <w:r>
        <w:rPr>
          <w:rFonts w:ascii="Consolas" w:hAnsi="Consolas"/>
          <w:b w:val="0"/>
          <w:sz w:val="19"/>
        </w:rPr>
        <w:t>description</w:t>
      </w:r>
      <w:r>
        <w:rPr>
          <w:b w:val="0"/>
        </w:rPr>
        <w:t>（含"何时不要用"）、</w:t>
      </w:r>
      <w:r>
        <w:rPr>
          <w:rFonts w:ascii="Consolas" w:hAnsi="Consolas"/>
          <w:b w:val="0"/>
          <w:sz w:val="19"/>
        </w:rPr>
        <w:t>inputSchema</w:t>
      </w:r>
      <w:r>
        <w:rPr>
          <w:b w:val="0"/>
        </w:rPr>
        <w:t>、</w:t>
      </w:r>
      <w:r>
        <w:rPr>
          <w:rFonts w:ascii="Consolas" w:hAnsi="Consolas"/>
          <w:b w:val="0"/>
          <w:sz w:val="19"/>
        </w:rPr>
        <w:t>annotations</w:t>
      </w:r>
      <w:r>
        <w:rPr>
          <w:b w:val="0"/>
        </w:rPr>
        <w:t>（</w:t>
      </w:r>
      <w:r>
        <w:rPr>
          <w:rFonts w:ascii="Consolas" w:hAnsi="Consolas"/>
          <w:b w:val="0"/>
          <w:sz w:val="19"/>
        </w:rPr>
        <w:t>readOnlyHint</w:t>
      </w:r>
      <w:r>
        <w:rPr>
          <w:b w:val="0"/>
        </w:rPr>
        <w:t>、</w:t>
      </w:r>
      <w:r>
        <w:rPr>
          <w:rFonts w:ascii="Consolas" w:hAnsi="Consolas"/>
          <w:b w:val="0"/>
          <w:sz w:val="19"/>
        </w:rPr>
        <w:t>destructiveHint</w:t>
      </w:r>
      <w:r>
        <w:rPr>
          <w:b w:val="0"/>
        </w:rPr>
        <w:t>）</w:t>
      </w:r>
    </w:p>
    <w:p>
      <w:pPr>
        <w:pStyle w:val="ListBullet"/>
        <w:ind w:left="360"/>
      </w:pPr>
      <w:r>
        <w:rPr>
          <w:b w:val="0"/>
        </w:rPr>
        <w:t>所有返回统一信封：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{</w:t>
        <w:br/>
        <w:t xml:space="preserve">  "ok": true,</w:t>
        <w:br/>
        <w:t xml:space="preserve">  "data": { },</w:t>
        <w:br/>
        <w:t xml:space="preserve">  "meta": {</w:t>
        <w:br/>
        <w:t xml:space="preserve">    "quality": 92,</w:t>
        <w:br/>
        <w:t xml:space="preserve">    "degraded": false,</w:t>
        <w:br/>
        <w:t xml:space="preserve">    "elapsed_ms": 320,</w:t>
        <w:br/>
        <w:t xml:space="preserve">    "source": "tdengine:pdm_features",</w:t>
        <w:br/>
        <w:t xml:space="preserve">    "trace_id": "01J..."</w:t>
        <w:br/>
        <w:t xml:space="preserve">  },</w:t>
        <w:br/>
        <w:t xml:space="preserve">  "evidence": [</w:t>
        <w:br/>
        <w:t xml:space="preserve">    {"type": "series", "ref": "mp:KA-101.DE_H", "window": ["2026-10-01T00:00Z","2026-10-21T00:00Z"]}</w:t>
        <w:br/>
        <w:t xml:space="preserve">  ]</w:t>
        <w:br/>
        <w:t>}</w:t>
      </w:r>
    </w:p>
    <w:p>
      <w:r>
        <w:rPr>
          <w:b/>
        </w:rPr>
        <w:t>`evidence` 字段是强制的</w:t>
      </w:r>
      <w:r>
        <w:rPr>
          <w:b w:val="0"/>
        </w:rPr>
        <w:t>：没有 evidence 的返回，上层不得生成结论（对应 FR-403）。</w:t>
      </w:r>
    </w:p>
    <w:p>
      <w:pPr>
        <w:pStyle w:val="Heading3"/>
      </w:pPr>
      <w:r>
        <w:t>3.2 工具定义示例（3 个代表）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{</w:t>
        <w:br/>
        <w:t xml:space="preserve">  "name": "assess_health",</w:t>
        <w:br/>
        <w:t xml:space="preserve">  "description": "计算设备在指定时间窗内的健康指数(HI)及其分解。当需要判断设备整体健康水平时使用。注意：若时间窗内数据质量分低于60，本工具会返回 degraded=true，此时不应给出确定性结论。",</w:t>
        <w:br/>
        <w:t xml:space="preserve">  "inputSchema": {</w:t>
        <w:br/>
        <w:t xml:space="preserve">    "type": "object",</w:t>
        <w:br/>
        <w:t xml:space="preserve">    "properties": {</w:t>
        <w:br/>
        <w:t xml:space="preserve">      "asset_id": {"type": "string", "pattern": "^[A-Z0-9]{2}\\.\\S+\\.\\S+$"},</w:t>
        <w:br/>
        <w:t xml:space="preserve">      "window": {</w:t>
        <w:br/>
        <w:t xml:space="preserve">        "type": "object",</w:t>
        <w:br/>
        <w:t xml:space="preserve">        "properties": {</w:t>
        <w:br/>
        <w:t xml:space="preserve">          "start": {"type": "string", "format": "date-time"},</w:t>
        <w:br/>
        <w:t xml:space="preserve">          "end":   {"type": "string", "format": "date-time"}</w:t>
        <w:br/>
        <w:t xml:space="preserve">        },</w:t>
        <w:br/>
        <w:t xml:space="preserve">        "required": ["start", "end"]</w:t>
        <w:br/>
        <w:t xml:space="preserve">      },</w:t>
        <w:br/>
        <w:t xml:space="preserve">      "regime": {"type": "string", "enum": ["auto", "rated", "partial", "startup"]}</w:t>
        <w:br/>
        <w:t xml:space="preserve">    },</w:t>
        <w:br/>
        <w:t xml:space="preserve">    "required": ["asset_id", "window"]</w:t>
        <w:br/>
        <w:t xml:space="preserve">  },</w:t>
        <w:br/>
        <w:t xml:space="preserve">  "annotations": {"readOnlyHint": true, "destructiveHint": false}</w:t>
        <w:br/>
        <w:t>}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{</w:t>
        <w:br/>
        <w:t xml:space="preserve">  "name": "create_workorder_draft",</w:t>
        <w:br/>
        <w:t xml:space="preserve">  "description": "在EAM系统中创建工单草稿（不派工、不占用备件）。仅在用户已确认维护方案卡后调用。调用前必须已获得人工确认令牌。",</w:t>
        <w:br/>
        <w:t xml:space="preserve">  "inputSchema": {</w:t>
        <w:br/>
        <w:t xml:space="preserve">    "type": "object",</w:t>
        <w:br/>
        <w:t xml:space="preserve">    "properties": {</w:t>
        <w:br/>
        <w:t xml:space="preserve">      "recommendation_id": {"type": "string"},</w:t>
        <w:br/>
        <w:t xml:space="preserve">      "confirm_token": {"type": "string", "description": "人工确认令牌，由审批流签发"},</w:t>
        <w:br/>
        <w:t xml:space="preserve">      "window": {"type": "object"},</w:t>
        <w:br/>
        <w:t xml:space="preserve">      "spare_parts": {"type": "array", "items": {"type": "object"}}</w:t>
        <w:br/>
        <w:t xml:space="preserve">    },</w:t>
        <w:br/>
        <w:t xml:space="preserve">    "required": ["recommendation_id", "confirm_token"]</w:t>
        <w:br/>
        <w:t xml:space="preserve">  },</w:t>
        <w:br/>
        <w:t xml:space="preserve">  "annotations": {"readOnlyHint": false, "destructiveHint": false, "requiresConfirmation": true}</w:t>
        <w:br/>
        <w:t>}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{</w:t>
        <w:br/>
        <w:t xml:space="preserve">  "name": "query_series",</w:t>
        <w:br/>
        <w:t xml:space="preserve">  "description": "查询测点时序数据（自动降采样到≤2000点）。不要用于查询超过90天的时间窗，应改用 assess_health 的趋势接口。",</w:t>
        <w:br/>
        <w:t xml:space="preserve">  "inputSchema": {</w:t>
        <w:br/>
        <w:t xml:space="preserve">    "type": "object",</w:t>
        <w:br/>
        <w:t xml:space="preserve">    "properties": {</w:t>
        <w:br/>
        <w:t xml:space="preserve">      "mp_ids": {"type": "array", "items": {"type": "string"}, "maxItems": 10},</w:t>
        <w:br/>
        <w:t xml:space="preserve">      "start": {"type": "string", "format": "date-time"},</w:t>
        <w:br/>
        <w:t xml:space="preserve">      "end":   {"type": "string", "format": "date-time"},</w:t>
        <w:br/>
        <w:t xml:space="preserve">      "agg":   {"type": "string", "enum": ["raw","1m","5m","1h","1d"], "default": "5m"}</w:t>
        <w:br/>
        <w:t xml:space="preserve">    },</w:t>
        <w:br/>
        <w:t xml:space="preserve">    "required": ["mp_ids", "start", "end"]</w:t>
        <w:br/>
        <w:t xml:space="preserve">  },</w:t>
        <w:br/>
        <w:t xml:space="preserve">  "annotations": {"readOnlyHint": true}</w:t>
        <w:br/>
        <w:t>}</w:t>
      </w:r>
    </w:p>
    <w:p>
      <w:pPr>
        <w:pStyle w:val="Heading3"/>
      </w:pPr>
      <w:r>
        <w:t>3.3 MCP 网关安全要求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要求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实现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工具级授权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按角色授予工具子集（操作工无 create_workorder_draft）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调用配额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每用户 60 次/分钟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参数审计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全量记录（脱敏后）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响应过滤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按数据行级权限过滤设备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版本协商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工具 schema 版本化，破坏性变更升 major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内部 REST API（节选）</w:t>
      </w:r>
    </w:p>
    <w:p>
      <w:pPr>
        <w:pStyle w:val="Heading3"/>
      </w:pPr>
      <w:r>
        <w:t>4.1 资源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路径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/api/v1/assets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设备列表（支持关键度、车间过滤）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/api/v1/assets/{id}/health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当前 HI + 趋势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/api/v1/assets/{id}/diagnoses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诊断历史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/api/v1/diagnoses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发起诊断（异步，返回 task_id）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/api/v1/diagnoses/{id}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诊断结果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/api/v1/diagnoses/{id}/report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HTML 报告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/api/v1/recommendations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方案卡列表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/api/v1/recommendations/{id}/confirm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人工确认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/api/v1/recommendations/{id}/reject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拒绝（需原因码）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/api/v1/alerts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告警列表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/api/v1/alerts/{id}/ack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已知悉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/api/v1/audit/traces/{trace_id}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审计回放</w:t>
            </w:r>
          </w:p>
        </w:tc>
      </w:tr>
    </w:tbl>
    <w:p>
      <w:pPr>
        <w:pStyle w:val="Heading3"/>
      </w:pPr>
      <w:r>
        <w:t>4.2 错误码规范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码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含义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HTTP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PDM-1001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设备不存在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404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PDM-1002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数据质量不足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422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PDM-2001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证据缺失，拒绝生成结论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422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PDM-2002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置信度低于阈值，需人工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409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PDM-3001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权限不足（工具级）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403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PDM-3002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需人工确认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428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PDM-4001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EAM 接口不可用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502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PDM-5001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模型服务不可用（已降级）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200 + degraded=true</w:t>
            </w:r>
          </w:p>
        </w:tc>
      </w:tr>
    </w:tbl>
    <w:p>
      <w:pPr>
        <w:ind w:left="360"/>
      </w:pPr>
      <w:r>
        <w:rPr>
          <w:i/>
          <w:color w:val="4A5158"/>
        </w:rPr>
        <w:t>注意 PDM-5001：模型不可用不是错误，是降级。 返回 200 + 标记，让上层继续走模板路径。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事件规范（CloudEvents 1.0）</w:t>
      </w:r>
    </w:p>
    <w:p>
      <w:pPr>
        <w:pStyle w:val="Heading3"/>
      </w:pPr>
      <w:r>
        <w:t>5.1 事件类型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触发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消费者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pdm.alert.raised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告警生成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alert-service, 通知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pdm.alert.escalated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超时升级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通知, 审计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pdm.diagnosis.completed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诊断完成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决策服务, 报告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pdm.recommendation.created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方案卡生成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审批流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pdm.workorder.created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工单创建成功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审计, 看板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pdm.sensor.stale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测点断流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运维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pdm.model.drift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模型漂移告警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算法团队</w:t>
            </w:r>
          </w:p>
        </w:tc>
      </w:tr>
    </w:tbl>
    <w:p>
      <w:pPr>
        <w:pStyle w:val="Heading3"/>
      </w:pPr>
      <w:r>
        <w:t>5.2 事件示例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{</w:t>
        <w:br/>
        <w:t xml:space="preserve">  "specversion": "1.0",</w:t>
        <w:br/>
        <w:t xml:space="preserve">  "id": "01J9Z8X2K3",</w:t>
        <w:br/>
        <w:t xml:space="preserve">  "source": "/pdm/diagnosis-engine",</w:t>
        <w:br/>
        <w:t xml:space="preserve">  "type": "pdm.alert.raised",</w:t>
        <w:br/>
        <w:t xml:space="preserve">  "time": "2026-10-21T06:31:12Z",</w:t>
        <w:br/>
        <w:t xml:space="preserve">  "subject": "SZ01.压缩车间.KA-101",</w:t>
        <w:br/>
        <w:t xml:space="preserve">  "datacontenttype": "application/json",</w:t>
        <w:br/>
        <w:t xml:space="preserve">  "data": {</w:t>
        <w:br/>
        <w:t xml:space="preserve">    "alert_id": "AL-20261021-0007",</w:t>
        <w:br/>
        <w:t xml:space="preserve">    "level": "orange",</w:t>
        <w:br/>
        <w:t xml:space="preserve">    "rule_id": "RULE-BRG-BPFO-H3",</w:t>
        <w:br/>
        <w:t xml:space="preserve">    "hi": 47,</w:t>
        <w:br/>
        <w:t xml:space="preserve">    "suggested_action": "安排会诊，准备轴承备件 SKF-6316-C3",</w:t>
        <w:br/>
        <w:t xml:space="preserve">    "owner_role": "maintenance_supervisor",</w:t>
        <w:br/>
        <w:t xml:space="preserve">    "sla_hours": 72,</w:t>
        <w:br/>
        <w:t xml:space="preserve">    "evidence_refs": ["EV-001", "EV-002"]</w:t>
        <w:br/>
        <w:t xml:space="preserve">  }</w:t>
        <w:br/>
        <w:t>}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EAM / CMMS 集成（防腐层设计）</w:t>
      </w:r>
    </w:p>
    <w:p>
      <w:pPr>
        <w:pStyle w:val="Heading3"/>
      </w:pPr>
      <w:r>
        <w:t>6.1 集成矩阵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场景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方向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接口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频率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失败处理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设备台账同步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EAM→PDM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REST 分页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每日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缓存上次快照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备件库存查询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EAM→PDM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REST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实时（缓存 15 min）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返回"未知"而非 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创建工单草稿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PDM→EAM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REST POST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事件驱动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重试 3 次 → 人工队列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工单状态回写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EAM→PDM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Webhook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实时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定时对账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维修记录回写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EAM→PDM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批量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每日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用于模型迭代</w:t>
            </w:r>
          </w:p>
        </w:tc>
      </w:tr>
    </w:tbl>
    <w:p>
      <w:pPr>
        <w:pStyle w:val="Heading3"/>
      </w:pPr>
      <w:r>
        <w:t>6.2 防腐层（Anti-Corruption Layer）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decision-service ──► EamAdapter（接口）──► MaximoAdapter / SAPAdapter / 用友Adapter</w:t>
        <w:br/>
        <w:t xml:space="preserve">                          │</w:t>
        <w:br/>
        <w:t xml:space="preserve">                          └─ 统一内部模型：WorkOrderDraft</w:t>
      </w:r>
    </w:p>
    <w:p>
      <w:r>
        <w:rPr>
          <w:b/>
        </w:rPr>
        <w:t>为什么必须防腐：</w:t>
      </w:r>
      <w:r>
        <w:rPr>
          <w:b w:val="0"/>
        </w:rPr>
        <w:t xml:space="preserve"> 不同厂用不同 EAM（Maximo / SAP PM / 用友 / 金蝶 / 自研），字段语义完全不同。</w:t>
      </w:r>
      <w:r>
        <w:rPr>
          <w:b/>
        </w:rPr>
        <w:t>绝不能让 EAM 的字段名泄漏到诊断与决策逻辑里。</w:t>
      </w:r>
    </w:p>
    <w:p>
      <w:pPr>
        <w:pStyle w:val="Heading3"/>
      </w:pPr>
      <w:r>
        <w:t>6.3 工单草稿字段映射（示例）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内部字段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Maximo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SAP PM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asset_code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ASSETNUM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EQUNR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设备编码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KTEXT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描述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work_type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WOTYPE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AUART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工单类型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scheduled_start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SCHEDSTART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GSTRP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计划开始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labor_hours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ESTLABHRS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ARBEI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工时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materials[]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MATUSETRANS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RESB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备件</w:t>
            </w:r>
          </w:p>
        </w:tc>
      </w:tr>
    </w:tbl>
    <w:p>
      <w:pPr>
        <w:pStyle w:val="Heading3"/>
      </w:pPr>
      <w:r>
        <w:t>6.4 幂等与对账</w:t>
      </w:r>
    </w:p>
    <w:p>
      <w:pPr>
        <w:pStyle w:val="ListBullet"/>
        <w:ind w:left="360"/>
      </w:pPr>
      <w:r>
        <w:rPr>
          <w:b w:val="0"/>
        </w:rPr>
        <w:t xml:space="preserve">所有写接口必须支持 </w:t>
      </w:r>
      <w:r>
        <w:rPr>
          <w:rFonts w:ascii="Consolas" w:hAnsi="Consolas"/>
          <w:b w:val="0"/>
          <w:sz w:val="19"/>
        </w:rPr>
        <w:t>Idempotency-Key</w:t>
      </w:r>
      <w:r>
        <w:rPr>
          <w:b w:val="0"/>
        </w:rPr>
        <w:t xml:space="preserve">（用 </w:t>
      </w:r>
      <w:r>
        <w:rPr>
          <w:rFonts w:ascii="Consolas" w:hAnsi="Consolas"/>
          <w:b w:val="0"/>
          <w:sz w:val="19"/>
        </w:rPr>
        <w:t>recommendation_id</w:t>
      </w:r>
      <w:r>
        <w:rPr>
          <w:b w:val="0"/>
        </w:rPr>
        <w:t>）。</w:t>
      </w:r>
    </w:p>
    <w:p>
      <w:pPr>
        <w:pStyle w:val="ListBullet"/>
        <w:ind w:left="360"/>
      </w:pPr>
      <w:r>
        <w:rPr>
          <w:b w:val="0"/>
        </w:rPr>
        <w:t>每日 02:00 对账：PDM 侧"已创建"清单 vs EAM 侧实际工单，差异生成工单。</w:t>
      </w:r>
    </w:p>
    <w:p>
      <w:pPr>
        <w:pStyle w:val="ListBullet"/>
        <w:ind w:left="360"/>
      </w:pPr>
      <w:r>
        <w:rPr>
          <w:b/>
        </w:rPr>
        <w:t>不允许"以为创建成功了"</w:t>
      </w:r>
      <w:r>
        <w:rPr>
          <w:b w:val="0"/>
        </w:rPr>
        <w:t>——这是 Stop Hook 的数据基础。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接口契约测试（Consumer-Driven Contract）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契约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提供方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消费方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工具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MCP 工具 schema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mcp-server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agent-runtime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JSON Schema 校验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REST API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各服务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前端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OpenAPI + Schemathesis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事件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各服务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各消费方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CloudEvents schema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EAM 适配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EamAdapter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decision-service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Pact</w:t>
            </w:r>
          </w:p>
        </w:tc>
      </w:tr>
    </w:tbl>
    <w:p>
      <w:r>
        <w:rPr>
          <w:b/>
        </w:rPr>
        <w:t>规则：</w:t>
      </w:r>
      <w:r>
        <w:rPr>
          <w:b w:val="0"/>
        </w:rPr>
        <w:t xml:space="preserve"> 契约变更必须先在消费方加"兼容测试"，CI 中契约测试失败即阻断合并。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8. 版本策略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接口类型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版本方式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兼容规则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REST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URL 路径 /v1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新增字段兼容；删除/改义升版本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MCP 工具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schema 内 version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破坏性变更升 major，双版本并行 ≥ 1 个迭代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事件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type 后缀 .v2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双发过渡期 ≥ 30 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波形格式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protobuf 字段号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只增不改不删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9. 限流与降级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接口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限流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降级策略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诊断 API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 并发/用户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排队 + 预计等待时间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波形查询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 次/分钟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返回降采样版本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LLM 调用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按预算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降级到小模型 → 模板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EAM 写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 次/分钟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异步队列</w:t>
            </w:r>
          </w:p>
        </w:tc>
      </w:tr>
    </w:tbl>
    <w:p>
      <w:r>
        <w:rPr>
          <w:b/>
        </w:rPr>
        <w:t>降级顺序（必须严格遵守）：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完整 LLM 会诊 → 单模型会诊 → 规则+模板方案卡 → 仅告警不带建议</w:t>
      </w:r>
    </w:p>
    <w:p>
      <w:r>
        <w:rPr>
          <w:b w:val="0"/>
        </w:rPr>
        <w:t>任何一级都</w:t>
      </w:r>
      <w:r>
        <w:rPr>
          <w:b/>
        </w:rPr>
        <w:t>不能</w:t>
      </w:r>
      <w:r>
        <w:rPr>
          <w:b w:val="0"/>
        </w:rPr>
        <w:t>变成"系统不可用"。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