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· 可行性研究与商业论证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TOGAF 10 阶段 A（架构愿景）；GB/T 8567-2006 §5 可行性分析；GB/T 39116 智能制造能力成熟度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商业论证（Business Case）</w:t>
      </w:r>
    </w:p>
    <w:p>
      <w:pPr>
        <w:pStyle w:val="Heading3"/>
      </w:pPr>
      <w:r>
        <w:t>1.1 损失结构：为什么"计划停机"比"非计划停机"便宜 5–10 倍</w:t>
      </w:r>
    </w:p>
    <w:p>
      <w:r>
        <w:rPr>
          <w:b w:val="0"/>
        </w:rPr>
        <w:t>原文给出的经验倍数，我们把它拆成可核算的科目：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成本科目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非计划停机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计划停机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差异来源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直接产值损失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全额（含在制品报废）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部分（可提前备库存）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排产可转移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备件成本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紧急采购溢价 30–200%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常规采购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提前期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人工成本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加班/外委溢价 50–150%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正常工时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排班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二次损伤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常见（轴承抱死伤轴）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极少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故障扩大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交付违约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可能（罚金）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可协商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客户沟通窗口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安全/环保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可能触发事件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风险敞口</w:t>
            </w:r>
          </w:p>
        </w:tc>
      </w:tr>
    </w:tbl>
    <w:p>
      <w:r>
        <w:rPr>
          <w:b/>
        </w:rPr>
        <w:t>结论：预测的价值不在"知道会坏"，在"把非计划变成计划"。</w:t>
      </w:r>
      <w:r>
        <w:rPr>
          <w:b w:val="0"/>
        </w:rPr>
        <w:t xml:space="preserve"> 这句话决定了系统设计：</w:t>
      </w:r>
      <w:r>
        <w:rPr>
          <w:b/>
        </w:rPr>
        <w:t>输出必须是"窗口"，不是"分数"。</w:t>
      </w:r>
    </w:p>
    <w:p>
      <w:pPr>
        <w:pStyle w:val="Heading3"/>
      </w:pPr>
      <w:r>
        <w:t>1.2 ROI 模型（单厂、20 台关键设备，假设值需替换为实际）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假设值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关键设备数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首期范围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年非计划停机次数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24 次（1.2 次/台·年）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行业中等水平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单次平均损失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¥ 18 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含产值+备件+人工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年非计划停机损失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¥ 432 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目标下降幅度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保守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年化收益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¥ 130 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432 × 30%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备件呆滞下降收益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¥ 25 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按库存 500 万 × 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人工效率收益（诊断工时）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¥ 30 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专家工时释放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年化总收益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¥ 185 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一次性投入（软件+集成+硬件）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¥ 120 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不含产线改造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年运营成本（云/人力/维护）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¥ 45 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投资回收期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约 10.4 个月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120 / (185−45)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 年 NPV（折现 8%）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约 ¥ 240 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ind w:left="360"/>
      </w:pPr>
      <w:r>
        <w:rPr>
          <w:i/>
          <w:color w:val="4A5158"/>
        </w:rPr>
        <w:t>⚠️ 以上为论证用假设，P1 阶段必须用工厂真实台账替换。ROI 模型的可信度取决于"单次停机损失"这一个数字，必须让财务签字。</w:t>
      </w:r>
    </w:p>
    <w:p>
      <w:pPr>
        <w:pStyle w:val="Heading3"/>
      </w:pPr>
      <w:r>
        <w:t>1.3 不做的代价（Do-Nothing Cost）</w:t>
      </w:r>
    </w:p>
    <w:p>
      <w:pPr>
        <w:pStyle w:val="ListBullet"/>
        <w:ind w:left="360"/>
      </w:pPr>
      <w:r>
        <w:rPr>
          <w:b w:val="0"/>
        </w:rPr>
        <w:t>关键设备平均役龄 &gt; 8 年，故障率进入浴盆曲线上升段</w:t>
      </w:r>
    </w:p>
    <w:p>
      <w:pPr>
        <w:pStyle w:val="ListBullet"/>
        <w:ind w:left="360"/>
      </w:pPr>
      <w:r>
        <w:rPr>
          <w:b w:val="0"/>
        </w:rPr>
        <w:t>老师傅 3 年内退休，经验无沉淀 → 诊断能力断崖</w:t>
      </w:r>
    </w:p>
    <w:p>
      <w:pPr>
        <w:pStyle w:val="ListBullet"/>
        <w:ind w:left="360"/>
      </w:pPr>
      <w:r>
        <w:rPr>
          <w:b w:val="0"/>
        </w:rPr>
        <w:t>备件靠"猜"备货，资金占用高且仍缺件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技术可行性</w:t>
      </w:r>
    </w:p>
    <w:p>
      <w:pPr>
        <w:pStyle w:val="Heading3"/>
      </w:pPr>
      <w:r>
        <w:t>2.1 五项关键技术成熟度评估（TRL）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技术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判断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工业协议接入（OPC UA / Modbus / S7）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成熟，直接采购/开源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Neuron、supOS 等已覆盖 70+ 协议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振动特征与故障诊断（FFT/包络/阶次）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成熟，标准完备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ISO 20816 / GB/T 19873 系列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阈值与规则引擎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成熟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结构化数据基础模型（LimiX 类）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6–7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可用但需验证，有许可风险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LimiX-2 权重非商用；初代 Apache 2.0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LLM Agent 工具调用 + Harness 工程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可用于"建议生成"，不可用于自动执行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2026 年 Harness 工程已形成 10 组件共识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多智能体会诊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5–6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架构可行，效果需 A/B 验证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学界与工业界均在探索期</w:t>
            </w:r>
          </w:p>
        </w:tc>
      </w:tr>
    </w:tbl>
    <w:p>
      <w:r>
        <w:rPr>
          <w:b/>
        </w:rPr>
        <w:t>结论：技术可行性成立，但必须"以成熟技术为骨架、以新技术为增益"，不能让 TRL 5–6 的组件承担主链路。</w:t>
      </w:r>
    </w:p>
    <w:p>
      <w:pPr>
        <w:pStyle w:val="Heading3"/>
      </w:pPr>
      <w:r>
        <w:t>2.2 关键技术验证清单（P1 阶段必须做完，否则不许进 P2）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验证项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通过标准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单台设备全链路打通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从传感器到报告 ≤ 5 分钟端到端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时间戳一致性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全厂时钟偏差 ≤ 50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NTP/PTP 核查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传感器校准状态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100% 有校准记录且在有效期内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台账核查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故障模式库覆盖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覆盖目标设备 Top 8 故障模式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专家评审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LLM 工具调用准确率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意图识别 ≥ 95%，参数抽取 ≥ 90%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 条测试集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提示注入防护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恶意指令拦截率 100%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红队测试 20 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断网降级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断网 30 分钟，本地诊断不中断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混沌测试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方案选型论证（Alternatives Analysis）</w:t>
      </w:r>
    </w:p>
    <w:p>
      <w:pPr>
        <w:pStyle w:val="Heading3"/>
      </w:pPr>
      <w:r>
        <w:t>3.1 三条路线对比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A. 采购商用 PdM 套件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B. 全自研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C. 开源组装 + 自研决策层（推荐）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上线速度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快（3 个月）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慢（12 个月+）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中（4–5 个月）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单点成本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高（¥200–500 万/厂）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低–中（¥100–150 万）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数据主权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差（多为 SaaS）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好（可全本地）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决策层可定制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差（厂商模板）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好（核心自研）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协议适配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差（重复造轮子）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好（复用开源）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长期演进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受厂商路线约束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供应商锁定、按点位收费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工期与人才风险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开源组件维护风险（可控）</w:t>
            </w:r>
          </w:p>
        </w:tc>
      </w:tr>
    </w:tbl>
    <w:p>
      <w:r>
        <w:rPr>
          <w:b/>
        </w:rPr>
        <w:t>推荐 C，且明确分工：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┌─────────────────────────────────────────────┐</w:t>
        <w:br/>
        <w:t>│  自研（护城河）                               │</w:t>
        <w:br/>
        <w:t>│  · 决策会诊层（L4）                           │</w:t>
        <w:br/>
        <w:t>│  · Agent Harness 运行时（权限/审计/评测）      │</w:t>
        <w:br/>
        <w:t>│  · 故障模式知识库与判据                       │</w:t>
        <w:br/>
        <w:t>│  · 方案卡与经济性模型                         │</w:t>
        <w:br/>
        <w:t>├─────────────────────────────────────────────┤</w:t>
        <w:br/>
        <w:t>│  复用开源（不重复造轮子）                      │</w:t>
        <w:br/>
        <w:t>│  · 协议接入：Neuron / supOS CE               │</w:t>
        <w:br/>
        <w:t>│  · 时序存储：TDengine                        │</w:t>
        <w:br/>
        <w:t>│  · 消息：EMQX                                │</w:t>
        <w:br/>
        <w:t>│  · 模型服务：LimiX（验证用）/ 时序模型         │</w:t>
        <w:br/>
        <w:t>│  · 编排：K8s / K3s + ArgoCD                  │</w:t>
        <w:br/>
        <w:t>├─────────────────────────────────────────────┤</w:t>
        <w:br/>
        <w:t>│  采购（有商业支持才买）                        │</w:t>
        <w:br/>
        <w:t>│  · 工业网关硬件                               │</w:t>
        <w:br/>
        <w:t>│  · 加速度计/温度传感器（含校准服务）            │</w:t>
        <w:br/>
        <w:t>│  · 私有化推理服务器（可选）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t>3.2 为什么"决策层必须自研"</w:t>
      </w:r>
    </w:p>
    <w:p>
      <w:r>
        <w:rPr>
          <w:b w:val="0"/>
        </w:rPr>
        <w:t>因为决策层要接的是</w:t>
      </w:r>
      <w:r>
        <w:rPr>
          <w:b/>
        </w:rPr>
        <w:t>这家工厂的排产规则、备件编码、班组排班、成本口径</w:t>
      </w:r>
      <w:r>
        <w:rPr>
          <w:b w:val="0"/>
        </w:rPr>
        <w:t>——这些没有通用产品。买了商用套件，最后还是要二次开发，且被框架绑死。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组织可行性（本土化落地视角）</w:t>
      </w:r>
    </w:p>
    <w:p>
      <w:pPr>
        <w:pStyle w:val="Heading3"/>
      </w:pPr>
      <w:r>
        <w:t>4.1 四类利益相关者与真实诉求（TOGAF 干系人地图）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干系人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表面诉求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真实诉求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应对策略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设备副总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"上个 AI 系统"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别在我任内出大事故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先做"看得见"的告警治理，快速出成绩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设备科长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"减少故障"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别给我增加填表工作量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方案卡自动带工单草稿，减少他的录入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维修班长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"早点知道"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别让我白跑一趟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误报率是生命线，宁漏勿滥（首期）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一线操作工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"别烦我"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别让我判断技术问题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只推"需要你做的事"，不推分数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IT/信息安全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"别出事"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合规免责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等保三级、审计留痕、数据不出厂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财务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"别乱花钱"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可核算的 ROI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用他的口径算停机成本</w:t>
            </w:r>
          </w:p>
        </w:tc>
      </w:tr>
    </w:tbl>
    <w:p>
      <w:r>
        <w:rPr>
          <w:b/>
        </w:rPr>
        <w:t>本土化关键判断：</w:t>
      </w:r>
    </w:p>
    <w:p>
      <w:pPr>
        <w:ind w:left="360"/>
      </w:pPr>
      <w:r>
        <w:rPr>
          <w:i/>
          <w:color w:val="4A5158"/>
        </w:rPr>
        <w:t>在中国工厂，系统失败的第一原因不是算法不准，是"增加了基层工作量却没减少他的麻烦"。 因此设计原则第 0 条：任何新增流程，必须同时减少一个旧动作。（例：生成工单草稿 = 减少手工填单）</w:t>
      </w:r>
    </w:p>
    <w:p>
      <w:pPr>
        <w:pStyle w:val="Heading3"/>
      </w:pPr>
      <w:r>
        <w:t>4.2 变革管理三件事</w:t>
      </w:r>
    </w:p>
    <w:p>
      <w:pPr>
        <w:pStyle w:val="ListNumber"/>
        <w:ind w:left="360"/>
      </w:pPr>
      <w:r>
        <w:rPr>
          <w:b/>
        </w:rPr>
        <w:t>标杆设备先行</w:t>
      </w:r>
      <w:r>
        <w:rPr>
          <w:b w:val="0"/>
        </w:rPr>
        <w:t>：选一台"大家都知道它老出问题"的设备，30 天内做出一次成功预警，用事实说话。</w:t>
      </w:r>
    </w:p>
    <w:p>
      <w:pPr>
        <w:pStyle w:val="ListNumber"/>
        <w:ind w:left="360"/>
      </w:pPr>
      <w:r>
        <w:rPr>
          <w:b/>
        </w:rPr>
        <w:t>老师傅入伙</w:t>
      </w:r>
      <w:r>
        <w:rPr>
          <w:b w:val="0"/>
        </w:rPr>
        <w:t>：把 2 位老师傅聘为"判据评审专家"，给署名、给津贴，让他们成为系统的作者而非替代对象。</w:t>
      </w:r>
    </w:p>
    <w:p>
      <w:pPr>
        <w:pStyle w:val="ListNumber"/>
        <w:ind w:left="360"/>
      </w:pPr>
      <w:r>
        <w:rPr>
          <w:b/>
        </w:rPr>
        <w:t>周报机制</w:t>
      </w:r>
      <w:r>
        <w:rPr>
          <w:b w:val="0"/>
        </w:rPr>
        <w:t>：每周一封"设备健康周报"，只写 3 件事：本周新增预警、本周验证结论、下周关注点。</w:t>
      </w:r>
      <w:r>
        <w:rPr>
          <w:b/>
        </w:rPr>
        <w:t>不写技术指标。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法规与标准可行性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关注点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适用要求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数据出境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数据留在厂内，不出境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无出境合规问题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生成式 AI 服务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GB/T 45654-2025（2025-11-01 实施）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需做语料安全、内容过滤、标注、审计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大模型能力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GB/T 45288.1-2025 通用要求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作为模型选型与评测依据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网络安全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GB/T 22239-2019 等保三级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需做定级备案、测评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工控安全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IEC 62443-3-3（SR 要求）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需做区域/管道划分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功能安全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GB/T 20438 / IEC 61508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本系统不参与安全联锁，仅作建议，降低 SIL 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资产管理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ISO 55000 / GB/T 33172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维护策略需与资产管理体系对齐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AI 治理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ISO/IEC 42001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建议按体系建，不急于认证</w:t>
            </w:r>
          </w:p>
        </w:tc>
      </w:tr>
    </w:tbl>
    <w:p>
      <w:pPr>
        <w:ind w:left="360"/>
      </w:pPr>
      <w:r>
        <w:rPr>
          <w:i/>
          <w:color w:val="4A5158"/>
        </w:rPr>
        <w:t>重要合规红线：本系统输出"建议"，不输出"指令"。 任何与安全联锁（SIS）相关的动作，必须由人工在既有安全体系内执行。这一条写入架构约束（见 docs/03 §2）。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风险登记册（Risk Register）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风险描述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概率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影响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缓解措施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责任人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传感器未校准/时间戳漂移导致误判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🔴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G1 Gate 强制；上线前 100% 校准核查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设备科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LimiX-2 非商用许可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🔴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基线用经典模型；商用前替换/授权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架构师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LLM 幻觉编造故障模式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🔴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白名单 + 引用强制 + Evaluator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算法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告警疲劳导致弃用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🟠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分级路由 + 抑制窗 + 周报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产品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EAM 集成受阻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🟠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首期单向；RPA 兜底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平台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R6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边缘框架版本漂移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🟠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仅 POC；生产自研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平台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R7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专家时间投入不足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🔴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立项即签"专家投入承诺书"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项目经理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R8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数据量不足（故障样本少）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🟠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迁移学习 + 仿真数据 + 半监督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算法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R9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责任界定争议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🔴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审计链 + 人工确认 + 责任矩阵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设备副总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R10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预算削减导致半途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🟠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分期交付，每期独立产生价值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项目经理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可行性结论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技术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可行（成熟技术为骨架）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经济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可行（回收期 ~10 个月，需财务复核）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组织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⚠️ 有条件可行（需专家承诺 + 标杆先行）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法规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可行（数据不出厂 + 建议不指令）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总体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建议立项，按 5 阶段推进，每阶段设 Gate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阶段 A 架构愿景（TOGAF 交付物摘要）</w:t>
      </w:r>
    </w:p>
    <w:p>
      <w:r>
        <w:rPr>
          <w:b/>
        </w:rPr>
        <w:t>愿景陈述：</w:t>
      </w:r>
    </w:p>
    <w:p>
      <w:pPr>
        <w:ind w:left="360"/>
      </w:pPr>
      <w:r>
        <w:rPr>
          <w:i/>
          <w:color w:val="4A5158"/>
        </w:rPr>
        <w:t>让工厂里每一台关键设备，都能在"坏之前 14 天"给出一个可执行、可核算、可追责的维护方案，而不是一个分数。</w:t>
      </w:r>
    </w:p>
    <w:p>
      <w:r>
        <w:rPr>
          <w:b/>
        </w:rPr>
        <w:t>架构目标（3 条）：</w:t>
      </w:r>
    </w:p>
    <w:p>
      <w:pPr>
        <w:pStyle w:val="ListNumber"/>
        <w:ind w:left="360"/>
      </w:pPr>
      <w:r>
        <w:rPr>
          <w:b w:val="0"/>
        </w:rPr>
        <w:t>诊断能力从"人"转移到"系统"，常规诊断 80% 不依赖专家。</w:t>
      </w:r>
    </w:p>
    <w:p>
      <w:pPr>
        <w:pStyle w:val="ListNumber"/>
        <w:ind w:left="360"/>
      </w:pPr>
      <w:r>
        <w:rPr>
          <w:b w:val="0"/>
        </w:rPr>
        <w:t>预警必须落到"窗口 + 备件 + 人"，转化率 ≥ 60%。</w:t>
      </w:r>
    </w:p>
    <w:p>
      <w:pPr>
        <w:pStyle w:val="ListNumber"/>
        <w:ind w:left="360"/>
      </w:pPr>
      <w:r>
        <w:rPr>
          <w:b w:val="0"/>
        </w:rPr>
        <w:t>断网可用、写操作留痕、结论可回放。</w:t>
      </w:r>
    </w:p>
    <w:p>
      <w:r>
        <w:rPr>
          <w:b/>
        </w:rPr>
        <w:t>架构原则（6 条，详见 docs/03 §2）：</w:t>
      </w:r>
      <w:r>
        <w:rPr>
          <w:b w:val="0"/>
        </w:rPr>
        <w:t xml:space="preserve"> P1 建议不指令 · P2 证据可回放 · P3 降级优于崩溃 · P4 协议无关 · P5 人机共决 · P6 单点可替换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