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· 设备预测性维护智能体平台</w:t>
      </w:r>
    </w:p>
    <w:p>
      <w:pPr>
        <w:ind w:left="360"/>
      </w:pPr>
      <w:r>
        <w:rPr>
          <w:i/>
          <w:color w:val="4A5158"/>
        </w:rPr>
        <w:t>项目代号：Diting（谛听） —— "设备在低语，智能体负责翻译。" 应用主体：雅迪电动车集团公司（电动车销量持续第一，全球近 20 个生产基地）及其上下游供应商公司 演进目标：预留迁移至其他生产集团（如汽车制造） 文档基线：v1.0 方案基线（Ph0） ｜ 编制日期：2026-10-21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 xml:space="preserve">不是再做一个"更准的故障预测模型"，而是把 </w:t>
      </w:r>
      <w:r>
        <w:rPr>
          <w:b/>
        </w:rPr>
        <w:t>ISO 13374 的六功能块</w:t>
      </w:r>
      <w:r>
        <w:rPr>
          <w:b w:val="0"/>
        </w:rPr>
        <w:t xml:space="preserve">（DA→DM→SD→HA→PA→AG）用 </w:t>
      </w:r>
      <w:r>
        <w:rPr>
          <w:b/>
        </w:rPr>
        <w:t>Agent Harness 工程</w:t>
      </w:r>
      <w:r>
        <w:rPr>
          <w:b w:val="0"/>
        </w:rPr>
        <w:t>贯通，交付一个</w:t>
      </w:r>
      <w:r>
        <w:rPr>
          <w:b/>
        </w:rPr>
        <w:t>可审计、可降级、可回滚、带排产与备件约束的维护决策系统</w:t>
      </w:r>
      <w:r>
        <w:rPr>
          <w:b w:val="0"/>
        </w:rPr>
        <w:t>。</w:t>
      </w:r>
    </w:p>
    <w:p>
      <w:r>
        <w:rPr>
          <w:b w:val="0"/>
        </w:rPr>
        <w:t>原文的判断我们完全接受并写进方案首页：</w:t>
      </w:r>
    </w:p>
    <w:p>
      <w:pPr>
        <w:ind w:left="360"/>
      </w:pPr>
      <w:r>
        <w:rPr>
          <w:i/>
          <w:color w:val="4A5158"/>
        </w:rPr>
        <w:t>预测性维护的终点不是"预测得更准"，是"决策得更优"。</w:t>
      </w:r>
    </w:p>
    <w:p>
      <w:r>
        <w:rPr>
          <w:b w:val="0"/>
        </w:rPr>
        <w:t>但原文停在"装配顺序"，本方案要把它变成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与原文（5 个开源项目 + 五层路线）的关系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本方案处理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五层装配图（数据底座→诊断大脑→交互入口→决策闭环→边缘落地）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采纳为"能力分层"，但不作为交付顺序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交付顺序见 docs/10，按 Gate 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supOS（L1 工业数据底座）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采纳为参考实现，不锁定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Neuron / eKuiper / 自研适配三条替代路径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LimiX（L2 结构化数据模型）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采纳为候选，附许可证风险与替代方案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LimiX-2 权重非商用，商用需授权或替换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预测性维护服务端（L3 交互入口）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采纳协议形态，工具自研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只借鉴 DSP 管线与 ISO 10816/20816 判据，不直接依赖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四角色虚拟专家会诊（L4 决策闭环）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采纳并升级：增加独立 Evaluator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防止"四个角色自说自话"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OpenClaw（L5 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仅限 POC，生产封装为标准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与原文结论一致：让爱折腾的待在原型层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上线验收清单（6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扩展为 6 大类 42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 docs/11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方法论骨架（四层方法，互不替代）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· GB/T 45654   │</w:t>
        <w:br/>
        <w:t>│         GB/T 45288.1 大模型 · GB/T 19873 / ISO 13374       │</w:t>
        <w:br/>
        <w:t>│         ISO 20816 振动 · IEC 62443 · ISO/IEC 42001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Agent Harness（Agent = Model + Harness，10 组件）  │</w:t>
        <w:br/>
        <w:t>│         Hermes 式记忆/技能沉淀（受控、白名单、可回滚）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文档清单与阅读路径</w:t>
      </w:r>
    </w:p>
    <w:p>
      <w:pPr>
        <w:pStyle w:val="Heading3"/>
      </w:pPr>
      <w:r>
        <w:t>3.1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3.2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3.3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</w:p>
    <w:p>
      <w:pPr>
        <w:pStyle w:val="Heading3"/>
      </w:pPr>
      <w:r>
        <w:t>3.4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 可行性分析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docs/04_数据与模型架构.md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/ ISO 20816 / 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Harness 10 组件 / Hermes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/ OPC UA / REST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等保2.0 / IEC 62443 / GB/T 45654 /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 / BDD / ATDD / 模型评测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/ GitOps / 质量门禁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E/F / 敏捷-阶段混合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原文清单扩展 / GB/T 8567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docs/12_标准符合性矩阵与开源选型.md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全标准映射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项目宪法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specs/001-设备健康问答/spec.md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specs/002-维护决策会诊/spec.md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specs/003-边缘降级运行/spec.md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docs/13_方案自评与优化总路线.md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自我审查 + 优化主线 + D11–D22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docs/14_雅迪集团场景与多基地架构.md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集团场景 / 多租户 / 联邦 / 供应商 / 行业包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docs/15_DDD事件驱动与CQRS设计.md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/ 事件驱动 / CQRS / GraphQL / Saga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docs/16_多语言技术栈与基础设施适配.md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Rust/Go/Java/Python + 集群实盘适配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docs/17_存储选型决策ADR.md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/ TiDB / TDengine 三分法（ADR-017）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docs/18_K8s资源诊断与TiKV修复报告.md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五层取证 · 根因树 · 修复与验证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docs/19_全链路性能架构与技术栈.md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Litestar+Granian · 多级缓存 · 实测基准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docs/20_集群重构ADR_StatefulSet与本地PV.md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Deployment→StatefulSet · 200Gi 本地 PV · 3T 规划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v1.2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index-v2.html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评分与优化总览（汇报用）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3.5 v1.0 关键变更摘要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 → 雅迪集团 20 基地 + 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技术分层 → 8 个限界上下文 + 聚合 + 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为主 → 事件优先（Pulsar）+ 同步为辅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docs/15、16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 → CQRS 命令侧/查询侧分离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 → GraphQL BFF（REST/MCP 并存）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为主 → Rust/Go/Java/Python 分区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自建中间件 → 复用存量（Pulsar/TiDB+TiFlash/Milvus/Nebula/Nacos/LiteLLM/Grafana）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docs/16（实盘盘点）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单集群 → 中心集群 + 20 基地边缘（Rancher/Fleet 纳管）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docs/14、16</w:t>
            </w:r>
          </w:p>
        </w:tc>
      </w:tr>
    </w:tbl>
    <w:p>
      <w:pPr>
        <w:pStyle w:val="Heading3"/>
      </w:pPr>
      <w:r>
        <w:t>3.6 集群实盘结论（docs/16）</w:t>
      </w:r>
    </w:p>
    <w:p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 = k8s-master（16C/126Gi），</w:t>
      </w:r>
      <w:r>
        <w:rPr>
          <w:rFonts w:ascii="Consolas" w:hAnsi="Consolas"/>
          <w:b w:val="0"/>
          <w:color w:val="0B4F75"/>
          <w:sz w:val="19"/>
        </w:rPr>
        <w:t>10.167.2.176</w:t>
      </w:r>
      <w:r>
        <w:rPr>
          <w:b w:val="0"/>
        </w:rPr>
        <w:t xml:space="preserve"> = k8s-worker1（64C/126Gi），K8s v1.28.2，Rancher + Fleet + Istio 已装，docker 26.1.4，实际 CPU 用量仅 2–10%。</w:t>
      </w:r>
    </w:p>
    <w:p>
      <w:r>
        <w:rPr>
          <w:b/>
        </w:rPr>
        <w:t>已有可复用</w:t>
      </w:r>
      <w:r>
        <w:rPr>
          <w:b w:val="0"/>
        </w:rPr>
        <w:t xml:space="preserve">：Pulsar、TiDB+TiFlash、Milvus、NebulaGraph、CockroachDB、Redis、Nacos、LiteLLM、Ollama、Prometheus/Grafana/Loki、NFS provisioner。 </w:t>
      </w:r>
      <w:r>
        <w:rPr>
          <w:b/>
        </w:rPr>
        <w:t>必须新建</w:t>
      </w:r>
      <w:r>
        <w:rPr>
          <w:b w:val="0"/>
        </w:rPr>
        <w:t xml:space="preserve">：TDengine（时序）、本项目服务。关系库按 D23 复用 TiDB（见 docs/17 §8），不再新建 PG。 </w:t>
      </w:r>
      <w:r>
        <w:rPr>
          <w:b/>
        </w:rPr>
        <w:t>两个风险</w:t>
      </w:r>
      <w:r>
        <w:rPr>
          <w:b w:val="0"/>
        </w:rPr>
        <w:t>：该集群承载教学/实验业务，须强隔离；master 根分区仅余 15G，波形不能放。</w:t>
      </w:r>
    </w:p>
    <w:p>
      <w:pPr>
        <w:pStyle w:val="Heading3"/>
      </w:pPr>
      <w:r>
        <w:t>3.7 TiKV OOM 已修复（docs/18）</w:t>
      </w:r>
    </w:p>
    <w:p>
      <w:r>
        <w:rPr>
          <w:b w:val="0"/>
        </w:rPr>
        <w:t>不是单一 OOM，而是五因一链：节点内存超卖（limit 总和 157%–203%）→ load-testing 无配额 → kubelet 驱逐 Burstable Pod → PD 先崩 → TiKV 退出时腾 leader 超时 → SIGKILL(137)。</w:t>
      </w:r>
    </w:p>
    <w:p>
      <w:r>
        <w:rPr>
          <w:b w:val="0"/>
        </w:rPr>
        <w:t xml:space="preserve">已执行 9 项修复：TiKV request 1Gi→2Gi、grace 30s→300s、PD limit 512Mi→2Gi、TiFlash 从"无限制"→16Gi、load-testing 加配额、新增 </w:t>
      </w:r>
      <w:r>
        <w:rPr>
          <w:rFonts w:ascii="Consolas" w:hAnsi="Consolas"/>
          <w:b w:val="0"/>
          <w:color w:val="0B4F75"/>
          <w:sz w:val="19"/>
        </w:rPr>
        <w:t>pdm-data-critical</w:t>
      </w:r>
      <w:r>
        <w:rPr>
          <w:b w:val="0"/>
        </w:rPr>
        <w:t xml:space="preserve"> 优先级类、TiFlash 改 Recreate 策略。</w:t>
      </w:r>
      <w:r>
        <w:rPr>
          <w:b/>
        </w:rPr>
        <w:t>验证：8 个 Pod 全部 Running，TiDB v8.5.8 健康。</w:t>
      </w:r>
    </w:p>
    <w:p>
      <w:pPr>
        <w:pStyle w:val="Heading3"/>
      </w:pPr>
      <w:r>
        <w:t>3.9 当前运行态（已在集群内跑通）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 3/3（StatefulSet）· TiKV 3/3（StatefulSet，200Gi/副本）· TiDB 2/2 · TiFlash 1/1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个本地 PV 全部 Bound：TiKV 200Gi×3、PD 20Gi×3、TiFlash 100Gi（worker1 /home 3T 中划出 760Gi）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张表已建；应用账号 pdm_diag 可读写、DDL 被拒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pdm-prod/python-diagnosis 2 副本 Running，镜像 10.167.2.175:30500/pdm/python-diagnosis:0.1.0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访问入口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 + Host pdm-api.10.167.2.175.nip.io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hi=59.45, level=orange, degraded=false，五维分解齐全，每条带证据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 命中正常；L2 已接 Redis（db 3），l2_enabled=true，键 pdm:diag:* 已写入</w:t>
            </w:r>
          </w:p>
        </w:tc>
      </w:tr>
    </w:tbl>
    <w:p>
      <w:pPr>
        <w:pStyle w:val="Heading3"/>
      </w:pPr>
      <w:r>
        <w:t>3.8 文档导出（Word / PDF）</w:t>
      </w:r>
    </w:p>
    <w:p>
      <w:r>
        <w:rPr>
          <w:b w:val="0"/>
        </w:rPr>
        <w:t xml:space="preserve">全部 Markdown 已生成双格式，位于 </w:t>
      </w:r>
      <w:r>
        <w:rPr>
          <w:rFonts w:ascii="Consolas" w:hAnsi="Consolas"/>
          <w:b w:val="0"/>
          <w:color w:val="0B4F75"/>
          <w:sz w:val="19"/>
        </w:rPr>
        <w:t>export/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export/</w:t>
        <w:br/>
        <w:t>├── docx/   30 个 .docx（含标题层级、表格、代码块样式）</w:t>
        <w:br/>
        <w:t>└── pdf/    30 个 .pdf（A4、中文字体嵌入、页脚页码）</w:t>
      </w:r>
    </w:p>
    <w:p>
      <w:r>
        <w:rPr>
          <w:b w:val="0"/>
        </w:rPr>
        <w:t>重新生成：</w:t>
      </w:r>
      <w:r>
        <w:rPr>
          <w:rFonts w:ascii="Consolas" w:hAnsi="Consolas"/>
          <w:b w:val="0"/>
          <w:color w:val="0B4F75"/>
          <w:sz w:val="19"/>
        </w:rPr>
        <w:t>cd impl &amp;&amp; .venv/Scripts/python.exe tools/md_export.py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需要你拍板的 22 个决策点</w:t>
      </w:r>
    </w:p>
    <w:p>
      <w:pPr>
        <w:ind w:left="360"/>
      </w:pPr>
      <w:r>
        <w:rPr>
          <w:i/>
          <w:color w:val="4A5158"/>
        </w:rPr>
        <w:t>D1–D10 为基础决策点，D11–D22 为 v1.0 新增（雅迪集团化场景 + 多语言 + 真实集群，定义见 docs/13 §6）。逐条给了默认建议，你只需回复"采纳/改成X"。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①单台关键旋转设备（电机/风机/泵）②整线 ③全厂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台关键设备 + 3 类传感器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数据是否出厂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①完全不出厂（边缘）②特征值出厂 ③原始波形上云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特征值 + 报警事件出厂，原始波形留厂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设备接入方式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①直接读 PLC ②经 SCADA/OPC UA 网关 ③加装无线传感器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②为主 + ③补盲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诊断模型路线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①LimiX 结构化模型 ②经典特征+树模型 ③时序基础模型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先做基线，①/③ 做挑战者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①公有云 API ②私有化开源模型 ③混合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混合：敏感数据本地小模型，规划推理走私有化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①只读建议 ②可建工单 ③可下备件采购单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①→② 分期放开，③ 永不自动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①厂内 K8s ②边缘 K3s + 中心 ③纯边缘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云边协同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与现有系统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①EAM/CMMS 对接 ②MES 对接 ③两者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但先只做 EAM 单向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等保二级 /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三级（含工控区隔离）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首期预算与周期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周 / 6 人核心团队</w:t>
            </w:r>
          </w:p>
        </w:tc>
      </w:tr>
    </w:tbl>
    <w:p>
      <w:pPr>
        <w:pStyle w:val="Heading3"/>
      </w:pPr>
      <w:r>
        <w:t>4.1 v1.0 新增决策点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集团总部 + 2 基地（需验证联邦）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个基地口径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按国内 12 + 海外 8 分域设计，待确认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Pulsar（集群已有，不新建 Kafka）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TiFlash（集群已有，不引 ClickHouse）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核；采集代理由 Go 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 pdm tenant 权限与中间件账号（见 docs/16 §5 的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统一质量门禁</w:t>
            </w:r>
          </w:p>
        </w:tc>
      </w:tr>
    </w:tbl>
    <w:p>
      <w:pPr>
        <w:ind w:left="360"/>
      </w:pPr>
      <w:r>
        <w:rPr>
          <w:i/>
          <w:color w:val="4A5158"/>
        </w:rPr>
        <w:t>同时需要回收 8 项待确认事实（C1–C8）：见 docs/14 §1.2（基地分布、设备规模、现有 IT、EAM、供应商意愿、集团平台、海外网络、OT 清单），直接影响工期与架构。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下一步（你确认后我才动手）</w:t>
      </w:r>
    </w:p>
    <w:p>
      <w:pPr>
        <w:pStyle w:val="ListBullet"/>
        <w:ind w:left="360"/>
      </w:pPr>
      <w:r>
        <w:rPr>
          <w:b/>
        </w:rPr>
        <w:t>Gate G0 方案评审</w:t>
      </w:r>
      <w:r>
        <w:rPr>
          <w:b w:val="0"/>
        </w:rPr>
        <w:t>：你确认 v1.0 文档 + D1–D22 + C1–C8，冻结 v1.0 基线。</w:t>
      </w:r>
    </w:p>
    <w:p>
      <w:pPr>
        <w:pStyle w:val="ListBullet"/>
        <w:ind w:left="360"/>
      </w:pPr>
      <w:r>
        <w:rPr>
          <w:b/>
        </w:rPr>
        <w:t>Ph1 起进入实现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docs/10</w:t>
      </w:r>
      <w:r>
        <w:rPr>
          <w:b w:val="0"/>
        </w:rPr>
        <w:t xml:space="preserve"> 的数据底座开始，首期范围按 D11，每阶段交付可运行切片 + 测试报告，不搞"大爆炸交付"。</w:t>
      </w:r>
    </w:p>
    <w:p>
      <w:pPr>
        <w:pStyle w:val="ListBullet"/>
        <w:ind w:left="360"/>
      </w:pPr>
      <w:r>
        <w:rPr>
          <w:b/>
        </w:rPr>
        <w:t>前置阻塞</w:t>
      </w:r>
      <w:r>
        <w:rPr>
          <w:b w:val="0"/>
        </w:rPr>
        <w:t>：D19（docs/16 §5 的 I1–I4）不解决，基础设施层无法施工。</w:t>
      </w:r>
    </w:p>
    <w:p>
      <w:pPr>
        <w:jc w:val="center"/>
      </w:pPr>
      <w:r>
        <w:rPr>
          <w:color w:val="B0B6BD"/>
        </w:rPr>
        <w:t>— — —</w:t>
      </w:r>
    </w:p>
    <w:p>
      <w:r>
        <w:rPr>
          <w:b w:val="0"/>
        </w:rPr>
        <w:t>*本文档集为方案基线，不含实现代码。所有指标均为目标值，需在 P1 阶段用真实数据校准。*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