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· 存储选型决策（ADR-017）：PG、TiDB、TDengine 怎么分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架构决策记录（ADR-017）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触发问题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"集群里不是已经有 PG 了吗？不够用能不能也存 TiDB？"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三分法：TDengine 存时序、PG16 存事务、TiDB+TiFlash 存分析读模型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先把"有没有 PG"查清楚（实盘）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实例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归属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可否复用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db-postgres-0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dify-plus/db-postgres:5432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PostgreSQL 15.12（Alpine）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Dify 应用自带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技术上能连，工程上不建议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dataagent-course-postgres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dataagent-course:5432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PG（课程环境）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教学课程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不可用于生产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cockroachdb-a/b/c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infra，30Gi ×3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CockroachDB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共享基础设施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分布式 SQL，可用但语义差异大</w:t>
            </w:r>
          </w:p>
        </w:tc>
      </w:tr>
    </w:tbl>
    <w:p>
      <w:r>
        <w:rPr>
          <w:b/>
        </w:rPr>
        <w:t>所以答案是：有 PG，但没有"共享 PG 服务"。</w:t>
      </w:r>
    </w:p>
    <w:p>
      <w:r>
        <w:rPr>
          <w:b w:val="0"/>
        </w:rPr>
        <w:t>这两者的差别不是措辞，是风险：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生命周期耦合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Dify 升级、迁移、重建库时，PdM 生产数据跟着遭殃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备份策略冲突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Dify 的备份窗口与保留策略由它自己定，不会为 PdM 调整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连接数争抢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Dify 有 pgbouncer，PdM 若直连会打乱它的连接池规划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权限边界模糊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共用实例意味着 DBA 权限交叉，审计上说不清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版本被锁定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Dify 停在 PG15，PdM 想用 PG16 的某些特性就无解</w:t>
            </w:r>
          </w:p>
        </w:tc>
      </w:tr>
    </w:tbl>
    <w:p>
      <w:pPr>
        <w:ind w:left="360"/>
      </w:pPr>
      <w:r>
        <w:rPr>
          <w:i/>
          <w:color w:val="4A5158"/>
        </w:rPr>
        <w:t>一条工程常识：数据库是最不该"顺手复用"的东西。 复用中间件（缓存、消息、向量库）收益大、耦合小；复用数据库收益小、耦合大。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那能不能全放 TiDB？（认真评估，不是敷衍）</w:t>
      </w:r>
    </w:p>
    <w:p>
      <w:r>
        <w:rPr>
          <w:b w:val="0"/>
        </w:rPr>
        <w:t>TiDB 实盘情况：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v8.5.8（协议 8.0.11）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 ×1、tikv ×3（各 10Gi）、tiflash ×1（10Gi）、pd ×3（各 5Gi）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连接数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稳定性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tikv-1 重启 34 次、tikv-2 重启 88 次；Last State = Terminated，Exit Code 137（SIGKILL，典型 OOM）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扩容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local-path StorageClass ALLOWVOLUMEEXPANSION = false，不能在线扩容</w:t>
            </w:r>
          </w:p>
        </w:tc>
      </w:tr>
    </w:tbl>
    <w:p>
      <w:pPr>
        <w:pStyle w:val="Heading3"/>
      </w:pPr>
      <w:r>
        <w:t>2.1 TiDB 能做的（优势）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优势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对本项目的价值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MySQL 协议兼容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Java(JDBC)、Go(go-sql-driver)、Python(PyMySQL) 全通，多语言无障碍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HTAP（TiKV 行存 + TiFlash 列存）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一份数据同时支撑点查与跨基地聚合，这正是 CQRS 读侧的理想形态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水平扩展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 基地数据量增长时可加 TiKV 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强一致（Raft）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方案卡状态、工单回执等关键状态可靠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已在跑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零部署成本</w:t>
            </w:r>
          </w:p>
        </w:tc>
      </w:tr>
    </w:tbl>
    <w:p>
      <w:pPr>
        <w:pStyle w:val="Heading3"/>
      </w:pPr>
      <w:r>
        <w:t>2.2 TiDB 不能做的（硬约束）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严重度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没有 Row Level Security（RLS）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多租户隔离必须靠应用层 + 视图 + 强制查询构造器，安全等级下降一档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容量只有 30Gi（3×10Gi）+ TiFlash 10Gi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基地 3 年业务数据 + 读模型会撑爆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OOM 历史（Exit 137）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生产主库放上去，等于把命交给一个正在抖的集群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local-path 不可扩容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要扩容只能重建 PVC 迁数据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🟠 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JSON 能力弱于 PG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我们的 contributions、evidence 大量用 JSON；TiDB JSON 无 GIN 索引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🟠 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小事务延迟高于单机 PG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方案卡状态机高频小事务，TiDB 的 Raft 提交成本更高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🟡 低</w:t>
            </w:r>
          </w:p>
        </w:tc>
      </w:tr>
    </w:tbl>
    <w:p>
      <w:pPr>
        <w:pStyle w:val="Heading3"/>
      </w:pPr>
      <w:r>
        <w:t>2.3 结论</w:t>
      </w:r>
    </w:p>
    <w:p>
      <w:pPr>
        <w:ind w:left="360"/>
      </w:pPr>
      <w:r>
        <w:rPr>
          <w:i/>
          <w:color w:val="4A5158"/>
        </w:rPr>
        <w:t>TiDB 适合"读"，不适合"写"。 把它定位成分析读模型 + 跨基地对标，是扬长避短；把它当主库，是拿稳定性换便利。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最终方案：存储三分法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写侧（命令 / 事务）                                          │</w:t>
        <w:br/>
        <w:t>│  · PG16（新建专用实例）                                       │</w:t>
        <w:br/>
        <w:t>│      职责：聚合状态机、方案卡、告警、租户与权限、审计元数据      │</w:t>
        <w:br/>
        <w:t>│      关键：原生 RLS 做多租户硬隔离                             │</w:t>
        <w:br/>
        <w:t>│      规格：2 副本，PV 用 NFS（可扩容）或 worker1 local-path     │</w:t>
        <w:br/>
        <w:t>├─────────────────────────────────────────────────────────────┤</w:t>
        <w:br/>
        <w:t>│ 写侧（时序 / 大对象）                                         │</w:t>
        <w:br/>
        <w:t>│  · TDengine（新建）                                           │</w:t>
        <w:br/>
        <w:t>│      职责：特征值、HI 序列、RUL 序列（高频写、按时间分区）       │</w:t>
        <w:br/>
        <w:t>│      理由：写吞吐与压缩比是 PG/TiDB 都不擅长的领域              │</w:t>
        <w:br/>
        <w:t>│  · MinIO / NFS                                                │</w:t>
        <w:br/>
        <w:t>│      职责：原始波形、报告、模型权重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读侧（查询 / 分析）                                           │</w:t>
        <w:br/>
        <w:t>│  · TiDB + TiFlash（复用存量）                                  │</w:t>
        <w:br/>
        <w:t>│      职责：跨基地对标、月度趋势、集团看板投影                    │</w:t>
        <w:br/>
        <w:t>│      理由：列存聚合快，且已在跑；只读，坏了不影响主流程           │</w:t>
        <w:br/>
        <w:t>│  · Redis（复用）/ NebulaGraph（复用）/ Milvus（复用）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3.1 一句话记忆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要强一致 + 多租户硬隔离？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PG16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要每秒几千点写入 + 按时间扫？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TDengine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要跨 20 基地做聚合分析？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 + TiFlash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要存波形文件？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MinIO / NFS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成本对比（三种方案）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新增组件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首期成本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A. 全复用 TiDB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OOM + 容量 + 无 RLS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省了小钱，赔了大钱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B. 复用 Dify 的 PG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生命周期耦合、权限交叉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只可做 POC 过渡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C. PG16 新建 + TiDB 复用 + TDengine 新建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推荐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D. 全新建（PG + TDengine + 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重复建设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浪费存量</w:t>
            </w:r>
          </w:p>
        </w:tc>
      </w:tr>
    </w:tbl>
    <w:p>
      <w:r>
        <w:rPr>
          <w:b/>
        </w:rPr>
        <w:t>方案 C 的额外好处</w:t>
      </w:r>
      <w:r>
        <w:rPr>
          <w:b w:val="0"/>
        </w:rPr>
        <w:t xml:space="preserve">：TiDB 只承担读，即使它再 OOM，业务主流程不受影响，只是看板降级。这符合架构原则 </w:t>
      </w:r>
      <w:r>
        <w:rPr>
          <w:b/>
        </w:rPr>
        <w:t>P3 降级优于崩溃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多租户隔离的替代实现（因为 TiDB 无 RLS）</w:t>
      </w:r>
    </w:p>
    <w:p>
      <w:r>
        <w:rPr>
          <w:b w:val="0"/>
        </w:rPr>
        <w:t>既然主库是 PG，RLS 可用；但读模型在 TiDB，需要补偿措施：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措施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强度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身份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JWT 携带 tenant_id，网关校验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查询构造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所有查询强制经过 TenantQueryBuilder，禁止裸 SQL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读模型表首列固定 tenant_id，建复合索引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每条返回结果做租户断言（不一致即抛异常并告警）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多租户越权测试纳入每次 CI（构造跨租户查询必须失败）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所有跨租户访问记安全事件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</w:tr>
    </w:tbl>
    <w:p>
      <w:pPr>
        <w:ind w:left="360"/>
      </w:pPr>
      <w:r>
        <w:rPr>
          <w:i/>
          <w:color w:val="4A5158"/>
        </w:rPr>
        <w:t>不能因为"没有 RLS"就降低隔离要求，只能用更多层补偿。 这是选 TiDB 的隐性成本，必须写进设计。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落地步骤（Ph1 内完成）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在 pdm-prod 部署 PG16 主从（Helm），启用 RLS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可用连接串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建 pdm 数据库、租户角色、RLS 策略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DDL 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 TDengine（单机起步，PV 放 worker1）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可用连接串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在 TiDB 建 pdm_read 库，只授读权限给投影器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读模型 DDL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TiKV/TiFlash 资源调优（提高 memory limit，消除 OOM）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调优记录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申请 TiKV 扩容（若对标数据量增长）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扩容单</w:t>
            </w:r>
          </w:p>
        </w:tc>
      </w:tr>
    </w:tbl>
    <w:p>
      <w:pPr>
        <w:ind w:left="360"/>
      </w:pPr>
      <w:r>
        <w:rPr>
          <w:i/>
          <w:color w:val="4A5158"/>
        </w:rPr>
        <w:t>第 5 步不是"顺手"，是前置条件：TiDB 现在这个状态，任何读模型压测都可能把它打挂。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需要你确认的补充决策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承载方式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复用 Dify 实例建独立库（零新增） ② 新建专用 PG16 实例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新建（Ph1 就建，避免后期迁移）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是否先修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先调资源再上读模型 ② 直接上，坏了再说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先修（OOM 是已知事实）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波形存储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只留边缘 ② 中心留 7 天热数据 ③ 全量中心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+ ② 摘要</w:t>
            </w:r>
          </w:p>
        </w:tc>
      </w:tr>
    </w:tbl>
    <w:p>
      <w:pPr>
        <w:ind w:left="360"/>
      </w:pPr>
      <w:r>
        <w:rPr>
          <w:i/>
          <w:color w:val="4A5158"/>
        </w:rPr>
        <w:t>这三条与原 D1–D22 一起，构成完整决策集。确认后进入 Ph1 实施。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决策更新（2026-10-21，委托方拍板）</w:t>
      </w:r>
    </w:p>
    <w:p>
      <w:r>
        <w:rPr>
          <w:b/>
        </w:rPr>
        <w:t>委托方决定：D23 = 全用 TiDB（关系型主库不用 PG）。</w:t>
      </w:r>
    </w:p>
    <w:p>
      <w:r>
        <w:rPr>
          <w:b w:val="0"/>
        </w:rPr>
        <w:t>本 ADR 的 §3 三分法因此被修订为</w:t>
      </w:r>
      <w:r>
        <w:rPr>
          <w:b/>
        </w:rPr>
        <w:t>二分法 + 补偿层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最终定位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TiDB（TiKV 行存 + TiFlash 列存）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事务主库 + 读模型 + 跨基地分析（全包）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TDengine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时序特征值（TiDB 不擅此道，保留）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MinIO / NFS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波形、报告、模型权重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Redis / Milvus / Nebula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缓存、向量、图谱（复用）</w:t>
            </w:r>
          </w:p>
        </w:tc>
      </w:tr>
    </w:tbl>
    <w:p>
      <w:pPr>
        <w:pStyle w:val="Heading3"/>
      </w:pPr>
      <w:r>
        <w:t>8.1 决策被接受的前提（必须同时满足，否则回退 PG）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前提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消除 TiKV OOM（Exit 137）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连续 7 天 0 重启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TiKV 扩容至 ≥ 100Gi/节点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SHOW TABLE ... REGIONS + 容量核对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多租户补偿层上线（无 RLS）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 越权测试 100% 拦截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JSON 高频字段转生成列 + 索引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报告查询 P95 ≤ 200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 全备 + 日志备份，RPO ≤ 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恢复演练通过</w:t>
            </w:r>
          </w:p>
        </w:tc>
      </w:tr>
    </w:tbl>
    <w:p>
      <w:pPr>
        <w:ind w:left="360"/>
      </w:pPr>
      <w:r>
        <w:rPr>
          <w:i/>
          <w:color w:val="4A5158"/>
        </w:rPr>
        <w:t>若 P1 或 P2 在 Ph1 内无法达成，本决策自动回退为"PG16 主库 + TiDB 只读"。这条写进 ADR，避免后面扯皮。</w:t>
      </w:r>
    </w:p>
    <w:p>
      <w:pPr>
        <w:pStyle w:val="Heading3"/>
      </w:pPr>
      <w:r>
        <w:t>8.2 无 RLS 的隔离实现（补偿方案）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-- 所有业务表第一列固定 tenant_id，且复合索引以它打头</w:t>
        <w:br/>
        <w:t>CREATE TABLE diagnosis (</w:t>
        <w:br/>
        <w:t xml:space="preserve">  tenant_id   VARCHAR(32) NOT NULL,</w:t>
        <w:br/>
        <w:t xml:space="preserve">  diag_id     VARCHAR(40) NOT NULL,</w:t>
        <w:br/>
        <w:t xml:space="preserve">  ...</w:t>
        <w:br/>
        <w:t xml:space="preserve">  PRIMARY KEY (tenant_id, diag_id),</w:t>
        <w:br/>
        <w:t xml:space="preserve">  KEY idx_tenant_asset_time (tenant_id, asset_id, created_at)</w:t>
        <w:br/>
        <w:t>);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强制查询构造器：禁止裸 SQL</w:t>
        <w:br/>
        <w:t>class TenantQueryBuilder:</w:t>
        <w:br/>
        <w:t xml:space="preserve">    def __init__(self, tenant_id: str): ...</w:t>
        <w:br/>
        <w:t xml:space="preserve">    def select(self, table: str) -&gt; "TenantQueryBuilder":</w:t>
        <w:br/>
        <w:t xml:space="preserve">        # 自动注入 WHERE tenant_id = :tid，且不允许调用方覆盖</w:t>
        <w:br/>
        <w:t xml:space="preserve">        ...</w:t>
        <w:br/>
        <w:t xml:space="preserve">    def execute(self) -&gt; list[dict]:</w:t>
        <w:br/>
        <w:t xml:space="preserve">        rows = self._run()</w:t>
        <w:br/>
        <w:t xml:space="preserve">        assert all(r["tenant_id"] == self.tenant_id for r in rows), "跨租户数据泄露"</w:t>
        <w:br/>
        <w:t xml:space="preserve">        return rows</w:t>
      </w:r>
    </w:p>
    <w:p>
      <w:r>
        <w:rPr>
          <w:b/>
        </w:rPr>
        <w:t>三层防线</w:t>
      </w:r>
      <w:r>
        <w:rPr>
          <w:b w:val="0"/>
        </w:rPr>
        <w:t>：构造器强制注入 → 结果断言 → CI 越权用例。缺一层就等于没有隔离。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