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数据与模型架构（DA / DM / SD / HA / PA）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ISO 13374-1/-2（六功能块）；ISO 13373-1/-3（振动监测）；ISO 20816-1/-3（振动烈度）；GB/T 19873.1/.3；GB/T 6075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ISO 13374 六功能块在本项目的落地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块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职能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本项目实现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输出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标准依据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DA Data Acquisition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采集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ingest-gateway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模拟量/数字量/波形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原始样本流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ISO 13374-2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DM Data Manipulation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处理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feature-engine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原始样本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清洗/对齐/特征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ISO 13373-1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SD State Detection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状态检测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diagnosis-engine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特征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异常/正常 + 事件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ISO 20816 / GB/T 19873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HA Health Assessment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健康评估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diagnosis-engine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特征 + 历史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 0–100 + 四级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ISO 13374-1 §6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PA Prognosis Assessment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预后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prognosis-engine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 序列 + 工况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RUL 分布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ISO 13374-1 §7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AG Advisory Generation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建议生成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agent-runtime + decision-service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诊断+预后+约束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报告 / 方案卡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ISO 13374-1 §8</w:t>
            </w:r>
          </w:p>
        </w:tc>
      </w:tr>
    </w:tbl>
    <w:p>
      <w:pPr>
        <w:ind w:left="360"/>
      </w:pPr>
      <w:r>
        <w:rPr>
          <w:i/>
          <w:color w:val="4A5158"/>
        </w:rPr>
        <w:t>架构价值： 六块是"信息处理职能"，不是"软件模块"。我们把它做成六个契约接口，任何一块的实现可替换（这正是 P6 单点可替换原则的落地）。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契约示意（Python Protocol，非最终代码）</w:t>
        <w:br/>
        <w:t>class StateDetector(Protocol):</w:t>
        <w:br/>
        <w:t xml:space="preserve">    def detect(self, features: FeatureFrame, ctx: AssetContext) -&gt; list[StateEvent]: ...</w:t>
        <w:br/>
        <w:br/>
        <w:t>class HealthAssessor(Protocol):</w:t>
        <w:br/>
        <w:t xml:space="preserve">    def assess(self, events: list[StateEvent], hist: History) -&gt; HealthIndex: ...</w:t>
        <w:br/>
        <w:br/>
        <w:t>class Prognosor(Protocol):</w:t>
        <w:br/>
        <w:t xml:space="preserve">    def predict(self, hi_series: Series, regime: Regime) -&gt; RULDistribution: ...</w:t>
        <w:br/>
        <w:br/>
        <w:t>class Advisor(Protocol):</w:t>
        <w:br/>
        <w:t xml:space="preserve">    def advise(self, diag: Diagnosis, constraints: Constraints) -&gt; RecommendationCard: ...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数据接入与预处理（DA / DM）</w:t>
      </w:r>
    </w:p>
    <w:p>
      <w:pPr>
        <w:pStyle w:val="Heading3"/>
      </w:pPr>
      <w:r>
        <w:t>2.1 采样参数基线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物理量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采样率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窗长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触发方式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振动加速度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25.6 kHz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s（25600 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定时（1 次/小时）+ 阈值触发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覆盖 10 kHz 分析带宽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振动速度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由加速度积分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ISO 20816 用速度 RMS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温度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Hz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 s 均值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电流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1–10 kHz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用于电气故障特征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转速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Hz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定时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阶次分析必需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油液（可选）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事件驱动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人工录入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磨粒计数</w:t>
            </w:r>
          </w:p>
        </w:tc>
      </w:tr>
    </w:tbl>
    <w:p>
      <w:r>
        <w:rPr>
          <w:b/>
        </w:rPr>
        <w:t>抗混叠：</w:t>
      </w:r>
      <w:r>
        <w:rPr>
          <w:b w:val="0"/>
        </w:rPr>
        <w:t xml:space="preserve"> 模拟低通截止 ≥ 0.4×fs，数字滤波 ≥ 8 阶 Butterworth。 </w:t>
      </w:r>
      <w:r>
        <w:rPr>
          <w:b/>
        </w:rPr>
        <w:t>加窗：</w:t>
      </w:r>
      <w:r>
        <w:rPr>
          <w:b w:val="0"/>
        </w:rPr>
        <w:t xml:space="preserve"> 稳态用 Hanning；瞬态/冲击用矩形或指数窗。</w:t>
      </w:r>
    </w:p>
    <w:p>
      <w:pPr>
        <w:pStyle w:val="Heading3"/>
      </w:pPr>
      <w:r>
        <w:t>2.2 数据质量门（DQ Gate）</w:t>
      </w:r>
    </w:p>
    <w:p>
      <w:r>
        <w:rPr>
          <w:b w:val="0"/>
        </w:rPr>
        <w:t xml:space="preserve">每条数据入库前必须通过 5 项检查，输出质量分 </w:t>
      </w:r>
      <w:r>
        <w:rPr>
          <w:rFonts w:ascii="Consolas" w:hAnsi="Consolas"/>
          <w:b w:val="0"/>
          <w:color w:val="0B4F75"/>
          <w:sz w:val="19"/>
        </w:rPr>
        <w:t>Q ∈ [0,100]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检查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扣分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缺失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应有样本数 vs 实到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按比例扣至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超量程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超出传感器量程 ±5%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每点 −2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冻结值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连续 30 个样本方差 =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−30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时间戳跳变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Δt &gt; 3×标称周期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每处 −10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单位/量纲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与元数据不符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−50（直接隔离）</w:t>
            </w:r>
          </w:p>
        </w:tc>
      </w:tr>
    </w:tbl>
    <w:p>
      <w:r>
        <w:rPr>
          <w:b/>
        </w:rPr>
        <w:t>规则：`Q &lt; 60` 的数据不参与 SD/HA，仅存档。</w:t>
      </w:r>
      <w:r>
        <w:rPr>
          <w:b w:val="0"/>
        </w:rPr>
        <w:t xml:space="preserve"> 这是防误报的第一道闸。</w:t>
      </w:r>
    </w:p>
    <w:p>
      <w:pPr>
        <w:pStyle w:val="Heading3"/>
      </w:pPr>
      <w:r>
        <w:t>2.3 统一时基</w:t>
      </w:r>
    </w:p>
    <w:p>
      <w:pPr>
        <w:pStyle w:val="ListBullet"/>
        <w:ind w:left="360"/>
      </w:pPr>
      <w:r>
        <w:rPr>
          <w:b w:val="0"/>
        </w:rPr>
        <w:t>全链路 UTC（epoch ms），展示层转本地时区。</w:t>
      </w:r>
    </w:p>
    <w:p>
      <w:pPr>
        <w:pStyle w:val="ListBullet"/>
        <w:ind w:left="360"/>
      </w:pPr>
      <w:r>
        <w:rPr>
          <w:b w:val="0"/>
        </w:rPr>
        <w:t>边缘节点 NTP 同步，偏差 &gt; 50 ms 触发告警。</w:t>
      </w:r>
    </w:p>
    <w:p>
      <w:pPr>
        <w:pStyle w:val="ListBullet"/>
        <w:ind w:left="360"/>
      </w:pPr>
      <w:r>
        <w:rPr>
          <w:b w:val="0"/>
        </w:rPr>
        <w:t xml:space="preserve">多源对齐采用"最近邻 + 线性插值"，插值跨度 &gt; 2×标称周期则标记 </w:t>
      </w:r>
      <w:r>
        <w:rPr>
          <w:rFonts w:ascii="Consolas" w:hAnsi="Consolas"/>
          <w:b w:val="0"/>
          <w:sz w:val="19"/>
        </w:rPr>
        <w:t>ALIGNED_LOW_CONF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特征工程（DM）</w:t>
      </w:r>
    </w:p>
    <w:p>
      <w:pPr>
        <w:pStyle w:val="Heading3"/>
      </w:pPr>
      <w:r>
        <w:t>3.1 时域特征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特征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公式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诊断意义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√(1/N Σx²)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能量，ISO 20816 主判据（速度 RMS）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峰值 Peak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max\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冲击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峰峰值 PP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max−min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振动总量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峭度 Kurtosis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E[(x−μ)⁴]/σ⁴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早期冲击（&gt;4 提示）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偏度 Skewness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E[(x−μ)³]/σ³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不对称（摩擦/松动）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峰值因子 Crest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Peak/RMS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冲击性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裕度因子 Clearance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Peak/(1/N Σ√\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)²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磨损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脉冲因子 Impulse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Peak/(1/N Σ\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x\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早期点蚀</w:t>
            </w:r>
          </w:p>
        </w:tc>
      </w:tr>
    </w:tbl>
    <w:p>
      <w:pPr>
        <w:pStyle w:val="Heading3"/>
      </w:pPr>
      <w:r>
        <w:t>3.2 频域特征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特征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频谱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FFT（Hanning，1024/2048 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主频识别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速度频谱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加速度积分 → 速度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ISO 20816 判级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包络谱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Hilbert 变换 → 包络 → FFT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轴承早期故障（共振解调）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TOP5 谱峰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峰值搜索 + 谐波聚类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特征频率匹配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边频带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主频 ± n×fr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齿轮/偏心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阶次谱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等角度重采样 + FFT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变转速工况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倒频谱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IFFT(log\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FFT\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周期冲击分离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小波包能量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db4，3 层分解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非稳态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3.3 轴承特征频率（核心判据）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fr  = 转速 / 60                          （转频 Hz）</w:t>
        <w:br/>
        <w:t>BPFO = (n/2)·fr·(1 − (d/D)·cosα)        外圈通过频率</w:t>
        <w:br/>
        <w:t>BPFI = (n/2)·fr·(1 + (d/D)·cosα)        内圈通过频率</w:t>
        <w:br/>
        <w:t>BSF  = (D/2d)·fr·(1 − ((d/D)·cosα)²)    滚动体</w:t>
        <w:br/>
        <w:t>FTF  = (fr/2)·(1 − (d/D)·cosα)          保持架</w:t>
        <w:br/>
        <w:br/>
        <w:t>n=滚珠数, d=滚珠直径, D=节径, α=接触角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故障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频谱特征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包络谱特征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外圈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BPFO 及谐波，幅值随载荷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BPFO 明显，边带少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内圈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BPFI 及谐波，带 fr 边带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BPFI + fr 边带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滚动体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BSF，带 FTF 边带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BSF ± FTF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保持架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FTF（低频），常伴 1×/2× 谐波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FTF 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不平衡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1× 主导，相位稳定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不对中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2× 显著（&gt;1× 的 50%）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松动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多阶谐波（1×,2×,3×…）+ 底噪抬升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齿轮啮合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GMF 及边带（±fr）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ind w:left="360"/>
      </w:pPr>
      <w:r>
        <w:rPr>
          <w:i/>
          <w:color w:val="4A5158"/>
        </w:rPr>
        <w:t>工程提醒： 上表是"教科书特征"，现场必须叠加设备结构固有频率与管路/基础共振，否则会把共振峰误判为故障频率。故障模式库中每个模式必须绑定"排除条件"。</w:t>
      </w:r>
    </w:p>
    <w:p>
      <w:pPr>
        <w:pStyle w:val="Heading3"/>
      </w:pPr>
      <w:r>
        <w:t>3.4 特征选择与降维</w:t>
      </w:r>
    </w:p>
    <w:p>
      <w:pPr>
        <w:pStyle w:val="ListBullet"/>
        <w:ind w:left="360"/>
      </w:pPr>
      <w:r>
        <w:rPr>
          <w:b w:val="0"/>
        </w:rPr>
        <w:t>初始特征 ~120 维 → 相关性过滤（\|r\|&gt;0.95 去冗余）→ 方差过滤 → 模型内选择（L1/树模型重要性）。</w:t>
      </w:r>
    </w:p>
    <w:p>
      <w:pPr>
        <w:pStyle w:val="ListBullet"/>
        <w:ind w:left="360"/>
      </w:pPr>
      <w:r>
        <w:rPr>
          <w:b/>
        </w:rPr>
        <w:t>保留可解释性优先</w:t>
      </w:r>
      <w:r>
        <w:rPr>
          <w:b w:val="0"/>
        </w:rPr>
        <w:t>：最终进入诊断的特征 ≤ 25 个，每个必须有物理含义。</w:t>
      </w:r>
    </w:p>
    <w:p>
      <w:pPr>
        <w:pStyle w:val="ListBullet"/>
        <w:ind w:left="360"/>
      </w:pPr>
      <w:r>
        <w:rPr>
          <w:b w:val="0"/>
        </w:rPr>
        <w:t>禁止"黑箱 500 维特征 + 深度模型"作为主链路——工业场景要能解释。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状态检测（SD）</w:t>
      </w:r>
    </w:p>
    <w:p>
      <w:pPr>
        <w:pStyle w:val="Heading3"/>
      </w:pPr>
      <w:r>
        <w:t>4.1 三级判据体系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Level 1  绝对阈值（标准/厂商）—— 保底，防漏</w:t>
        <w:br/>
        <w:t>Level 2  相对基线（自学习）—— 主判据，适应个体差异</w:t>
        <w:br/>
        <w:t>Level 3  趋势斜率（变化率）—— 早期预警</w:t>
      </w:r>
    </w:p>
    <w:p>
      <w:r>
        <w:rPr>
          <w:b/>
        </w:rPr>
        <w:t>为什么需要三级：</w:t>
      </w:r>
      <w:r>
        <w:rPr>
          <w:b w:val="0"/>
        </w:rPr>
        <w:t xml:space="preserve"> 绝对阈值会漏掉"本来就振动大但一直稳定"的设备；相对基线会漏掉"突然劣化但仍在阈值内"的设备；趋势斜率能捕捉"缓慢但持续"的劣化。</w:t>
      </w:r>
    </w:p>
    <w:p>
      <w:pPr>
        <w:pStyle w:val="Heading3"/>
      </w:pPr>
      <w:r>
        <w:t>4.2 绝对阈值（ISO 20816 分区）</w:t>
      </w:r>
    </w:p>
    <w:p>
      <w:r>
        <w:rPr>
          <w:b w:val="0"/>
        </w:rPr>
        <w:t>以 ISO 20816-3（15 kW–1 MW 工业机器）为例，速度 RMS 分区：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分区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范围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本项目映射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可长期运行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绿/黄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不宜长期运行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注意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可能损坏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危险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</w:t>
            </w:r>
          </w:p>
        </w:tc>
      </w:tr>
    </w:tbl>
    <w:p>
      <w:pPr>
        <w:ind w:left="360"/>
      </w:pPr>
      <w:r>
        <w:rPr>
          <w:i/>
          <w:color w:val="4A5158"/>
        </w:rPr>
        <w:t>具体限值按机型/功率/安装方式查表，不得使用通用值。GB/T 6075 等同采用 ISO 20816 系列。</w:t>
      </w:r>
    </w:p>
    <w:p>
      <w:pPr>
        <w:pStyle w:val="Heading3"/>
      </w:pPr>
      <w:r>
        <w:t>4.3 相对基线（自学习）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baseline = median(特征值) over 学习窗（默认投运后 30 天，且工况在额定 70–110%）</w:t>
        <w:br/>
        <w:t>σ_robust = 1.4826 × MAD</w:t>
        <w:br/>
        <w:t>异常分数 z = (x − baseline) / σ_robust</w:t>
        <w:br/>
        <w:br/>
        <w:t>告警规则：</w:t>
        <w:br/>
        <w:t xml:space="preserve">  z &gt; 3   且持续 ≥ 30 min  → 黄</w:t>
        <w:br/>
        <w:t xml:space="preserve">  z &gt; 5   且持续 ≥ 30 min  → 橙</w:t>
        <w:br/>
        <w:t xml:space="preserve">  z &gt; 8   或 突增 &gt; 100%   → 红</w:t>
      </w:r>
    </w:p>
    <w:p>
      <w:r>
        <w:rPr>
          <w:b/>
        </w:rPr>
        <w:t>3σ 的工程修正：</w:t>
      </w:r>
      <w:r>
        <w:rPr>
          <w:b w:val="0"/>
        </w:rPr>
        <w:t xml:space="preserve"> 工业数据非高斯、有工况漂移，必须用 </w:t>
      </w:r>
      <w:r>
        <w:rPr>
          <w:b/>
        </w:rPr>
        <w:t>MAD（中位数绝对偏差）</w:t>
      </w:r>
      <w:r>
        <w:rPr>
          <w:b w:val="0"/>
        </w:rPr>
        <w:t xml:space="preserve"> 而非标准差，且按工况分箱（负载/转速/环境温度）建基线。这是原文"3σ 异常检测"必须打的补丁。</w:t>
      </w:r>
    </w:p>
    <w:p>
      <w:pPr>
        <w:pStyle w:val="Heading3"/>
      </w:pPr>
      <w:r>
        <w:t>4.4 趋势斜率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slope = Theil-Sen 估计（鲁棒，抗离群）</w:t>
        <w:br/>
        <w:t>劣化速率 = slope / baseline  （%/天）</w:t>
        <w:br/>
        <w:t>加速判据：近 7 天斜率 &gt; 前 30 天斜率 × 2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健康评估（HA）</w:t>
      </w:r>
    </w:p>
    <w:p>
      <w:pPr>
        <w:pStyle w:val="Heading3"/>
      </w:pPr>
      <w:r>
        <w:t>5.1 HI 构造（可解释版）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HI = 100 × Π(1 − w_i · s_i)</w:t>
        <w:br/>
        <w:br/>
        <w:t>其中 s_i ∈ [0,1] 为第 i 个维度归一化劣化度：</w:t>
        <w:br/>
        <w:t xml:space="preserve">  s_vib  振动烈度（相对基线与绝对阈值取大）</w:t>
        <w:br/>
        <w:t xml:space="preserve">  s_imp  冲击/峭度</w:t>
        <w:br/>
        <w:t xml:space="preserve">  s_temp 温升（相对环境）</w:t>
        <w:br/>
        <w:t xml:space="preserve">  s_curr 电流特征（MCSA）</w:t>
        <w:br/>
        <w:t xml:space="preserve">  s_trend 劣化速率</w:t>
        <w:br/>
        <w:t>w_i 为权重，Σw_i = 1，默认 (0.35, 0.20, 0.15, 0.15, 0.15)</w:t>
        <w:br/>
        <w:br/>
        <w:t>约束：</w:t>
        <w:br/>
        <w:t>· 任一 s_i = 1 → HI = 0（单维度致命即整体致命）</w:t>
        <w:br/>
        <w:t>· 缺失维度时按剩余维度权重重归一，并标注"降级"</w:t>
      </w:r>
    </w:p>
    <w:p>
      <w:r>
        <w:rPr>
          <w:b/>
        </w:rPr>
        <w:t>为什么用乘积而非加权和：</w:t>
      </w:r>
      <w:r>
        <w:rPr>
          <w:b w:val="0"/>
        </w:rPr>
        <w:t xml:space="preserve"> 加权和会被"其他维度都很好"稀释掉单一致命故障；乘积形式符合"短板效应"，且单调、可解释。</w:t>
      </w:r>
    </w:p>
    <w:p>
      <w:pPr>
        <w:pStyle w:val="Heading3"/>
      </w:pPr>
      <w:r>
        <w:t>5.2 四级色与动作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HI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默认动作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响应时限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80–100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健康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常规巡检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60–79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关注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加密监测（1 次/小时）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 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40–59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劣化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进入会诊，准备窗口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 小时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0–39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危险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立即会诊，建议停机检查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 小时</w:t>
            </w:r>
          </w:p>
        </w:tc>
      </w:tr>
    </w:tbl>
    <w:p>
      <w:pPr>
        <w:pStyle w:val="Heading3"/>
      </w:pPr>
      <w:r>
        <w:t>5.3 可解释性输出</w:t>
      </w:r>
    </w:p>
    <w:p>
      <w:r>
        <w:rPr>
          <w:b w:val="0"/>
        </w:rPr>
        <w:t>每次 HI 必须返回贡献度分解：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"hi": 47,</w:t>
        <w:br/>
        <w:t xml:space="preserve">  "level": "orange",</w:t>
        <w:br/>
        <w:t xml:space="preserve">  "contributions": [</w:t>
        <w:br/>
        <w:t xml:space="preserve">    {"dim": "vib_rms", "s": 0.62, "w": 0.35, "delta": -21.7, "evidence": "DE_H 速度RMS 4.8mm/s (Zone C)"},</w:t>
        <w:br/>
        <w:t xml:space="preserve">    {"dim": "kurtosis", "s": 0.55, "w": 0.20, "delta": -11.0, "evidence": "峭度 5.2 (&gt;4 阈值)"},</w:t>
        <w:br/>
        <w:t xml:space="preserve">    {"dim": "trend", "s": 0.40, "w": 0.15, "delta": -6.0, "evidence": "近7天 +3.2%/天"}</w:t>
        <w:br/>
        <w:t xml:space="preserve">  ],</w:t>
        <w:br/>
        <w:t xml:space="preserve">  "degraded": false</w:t>
        <w:br/>
        <w:t>}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预后（PA）</w:t>
      </w:r>
    </w:p>
    <w:p>
      <w:pPr>
        <w:pStyle w:val="Heading3"/>
      </w:pPr>
      <w:r>
        <w:t>6.1 三条技术路线（并存，按场景选用）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路线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适用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可解释性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 物理退化模型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指数/幂律退化拟合 + 失效阈值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单一退化机理、数据少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低（≥ 30 个历史点）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 统计学习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梯度提升 / 随机森林 / LimiX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多特征、样本充足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中（≥ 200 例）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 时序深度模型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LSTM / TCN / PatchTST / 时序基础模型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长序列、复杂模式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低</w:t>
            </w:r>
          </w:p>
        </w:tc>
      </w:tr>
    </w:tbl>
    <w:p>
      <w:r>
        <w:rPr>
          <w:b/>
        </w:rPr>
        <w:t>默认策略：A 为基线（永远可用），B 为挑战者，C 为实验。</w:t>
      </w:r>
      <w:r>
        <w:rPr>
          <w:b w:val="0"/>
        </w:rPr>
        <w:t xml:space="preserve"> 三者在同一评测集上对比，择优上线，其余保留为 fallback。</w:t>
      </w:r>
    </w:p>
    <w:p>
      <w:pPr>
        <w:pStyle w:val="Heading3"/>
      </w:pPr>
      <w:r>
        <w:t>6.2 路线 A：指数退化（基线实现）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HI(t) = HI_0 · exp(−λ t)     →   ln HI 对 t 线性回归</w:t>
        <w:br/>
        <w:t>失效阈值 HI_f = 40（橙线）</w:t>
        <w:br/>
        <w:t>RUL = (ln HI_f − ln HI_now) / (−λ)</w:t>
        <w:br/>
        <w:t>置信区间：对 λ 的估计做 bootstrap（1000 次）取 P10/P50/P90</w:t>
      </w:r>
    </w:p>
    <w:p>
      <w:pPr>
        <w:pStyle w:val="Heading3"/>
      </w:pPr>
      <w:r>
        <w:t>6.3 OOD 与外推风险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工况分布校验（示意）</w:t>
        <w:br/>
        <w:t>if not in_training_envelope(regime, envelope):</w:t>
        <w:br/>
        <w:t xml:space="preserve">    return RUL(trend_only=True, warning="工况超出训练分布，仅给趋势方向")</w:t>
      </w:r>
    </w:p>
    <w:p>
      <w:r>
        <w:rPr>
          <w:b/>
        </w:rPr>
        <w:t>触发 OOD 的典型情况：</w:t>
      </w:r>
      <w:r>
        <w:rPr>
          <w:b w:val="0"/>
        </w:rPr>
        <w:t xml:space="preserve"> 转速偏离 ±20%、负载偏离 ±30%、环境温度偏离 ±15℃、更换了传感器/改变安装位置。</w:t>
      </w:r>
    </w:p>
    <w:p>
      <w:pPr>
        <w:pStyle w:val="Heading3"/>
      </w:pPr>
      <w:r>
        <w:t>6.4 RUL 输出契约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"rul_days": {"p10": 11, "p50": 19, "p90": 34},</w:t>
        <w:br/>
        <w:t xml:space="preserve">  "model": {"name": "exp-degradation", "version": "1.2.0", "trained_on": "2025-06~2026-09"},</w:t>
        <w:br/>
        <w:t xml:space="preserve">  "confidence": 0.72,</w:t>
        <w:br/>
        <w:t xml:space="preserve">  "regime_valid": true,</w:t>
        <w:br/>
        <w:t xml:space="preserve">  "ood_warning": null,</w:t>
        <w:br/>
        <w:t xml:space="preserve">  "assumptions": ["负载稳定在 85%", "未更换轴承", "润滑状态不变"]</w:t>
        <w:br/>
        <w:t>}</w:t>
      </w:r>
    </w:p>
    <w:p>
      <w:r>
        <w:rPr>
          <w:b/>
        </w:rPr>
        <w:t>强制要求：`assumptions` 字段不可为空。</w:t>
      </w:r>
      <w:r>
        <w:rPr>
          <w:b w:val="0"/>
        </w:rPr>
        <w:t xml:space="preserve"> 没有假设声明的 RUL 是不可用的 RUL。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模型选型与 LimiX 风险评估</w:t>
      </w:r>
    </w:p>
    <w:p>
      <w:pPr>
        <w:pStyle w:val="Heading3"/>
      </w:pPr>
      <w:r>
        <w:t>7.1 候选模型对比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许可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参数量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优势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经典特征 + 树模型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监督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自有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可解释、样本需求低、无许可风险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上限有限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✅ 基线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LimiX（初代）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结构化基础模型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Apache 2.0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零样本、因果+稳定学习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需验证工业适配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⚠️ 挑战者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LimiX-2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结构化基础模型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非商用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性能更强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商用需授权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❌ 生产禁用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LimiX-2M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轻量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需核实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可边缘部署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⚠️ 需法务确认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时序基础模型（PatchTST/Chronos 类）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预训练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多为 Apache/MIT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各异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少样本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推理成本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⚠️ 实验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物理模型（ISO 判据）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规则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标准公开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零训练、可审计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覆盖率低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✅ 保底</w:t>
            </w:r>
          </w:p>
        </w:tc>
      </w:tr>
    </w:tbl>
    <w:p>
      <w:pPr>
        <w:pStyle w:val="Heading3"/>
      </w:pPr>
      <w:r>
        <w:t>7.2 许可风险处置（必须写进合同/方案）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POC / 内部验证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可用 LimiX-2（非商用允许研究）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交付客户生产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禁止使用非商用权重；改用经典模型或采购商业授权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若客户坚持用 LimiX-2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需取得版权方书面商用授权，并写入交付清单</w:t>
            </w:r>
          </w:p>
        </w:tc>
      </w:tr>
    </w:tbl>
    <w:p>
      <w:pPr>
        <w:ind w:left="360"/>
      </w:pPr>
      <w:r>
        <w:rPr>
          <w:i/>
          <w:color w:val="4A5158"/>
        </w:rPr>
        <w:t>这一条是原文没有覆盖的硬伤。 开源不等于可商用，权重许可与代码许可是两件事。</w:t>
      </w:r>
    </w:p>
    <w:p>
      <w:pPr>
        <w:pStyle w:val="Heading3"/>
      </w:pPr>
      <w:r>
        <w:t>7.3 模型管理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语义化版本 + 数据集指纹 + 代码 commit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注册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模型注册表（MLflow 或自建），记录指标与许可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灰度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按设备/车间灰度，支持一键回滚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漂移监控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输入分布 PSI &gt; 0.2 告警；输出分布周环比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再训练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触发式（漂移/新增故障样本 ≥ 20 例）+ 季度定期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数据集治理</w:t>
      </w:r>
    </w:p>
    <w:p>
      <w:pPr>
        <w:pStyle w:val="Heading3"/>
      </w:pPr>
      <w:r>
        <w:t>8.1 数据集分层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规模目标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Golden 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已确认故障案例（含专家标注）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60 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验收、回归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Replay 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连续 3 个月全量数据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误报率评估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Synthetic 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仿真/注入故障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冷启动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Red Team 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提示注入/越权/诱导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20 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OOD 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工况越界样本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≥ 30 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鲁棒性</w:t>
            </w:r>
          </w:p>
        </w:tc>
      </w:tr>
    </w:tbl>
    <w:p>
      <w:pPr>
        <w:pStyle w:val="Heading3"/>
      </w:pPr>
      <w:r>
        <w:t>8.2 标注规范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故障类型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取自故障模式库（受控词表），禁止自由文本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严重度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轻微/中等/严重/致命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确认方式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拆检报告 / 更换记录 / 专家判定（三选一，须附证据）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标注人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双人独立标注，Kappa ≥ 0.7 方可用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时间窗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故障发生前后各 30 天</w:t>
            </w:r>
          </w:p>
        </w:tc>
      </w:tr>
    </w:tbl>
    <w:p>
      <w:r>
        <w:rPr>
          <w:b/>
        </w:rPr>
        <w:t>标注质量是模型上限。</w:t>
      </w:r>
      <w:r>
        <w:rPr>
          <w:b w:val="0"/>
        </w:rPr>
        <w:t xml:space="preserve"> 没有拆检报告的"故障样本"只能算"疑似"，不得进入 Golden Set。</w:t>
      </w:r>
    </w:p>
    <w:p>
      <w:pPr>
        <w:pStyle w:val="Heading3"/>
      </w:pPr>
      <w:r>
        <w:t>8.3 数据血缘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raw_waveform(sha256) → feature_set(v{n}) → training_run(id) → model(v{x.y.z}) → diagnosis(id) → recommendation(id)</w:t>
      </w:r>
    </w:p>
    <w:p>
      <w:r>
        <w:rPr>
          <w:b w:val="0"/>
        </w:rPr>
        <w:t>任一环节可正向追溯、反向定位。这是"证据可回放"（P2）的数据基础。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