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16 · 多语言技术栈与基础设施适配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文档编号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DT-PdM-16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依据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2026-10-21 对 10.167.2.175 / 10.167.2.176 的实盘盘点；ADR-013 / ADR-015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版本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v1.0（新增）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集群实测结果（全部为实盘数据，非推测）</w:t>
      </w:r>
    </w:p>
    <w:p>
      <w:pPr>
        <w:pStyle w:val="Heading3"/>
      </w:pPr>
      <w:r>
        <w:t>1.1 基础环境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实测值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K8s 版本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v1.28.2（175 与 176 API 均返回 v1.28.2）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节点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k8s-master = 10.167.2.175（control-plane,master,worker）；k8s-worker1 = 10.167.2.176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规格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master：16 核 / 约 126.3 Gi / 600 Pod；worker1：64 核 / 约 125.8 Gi / 600 Pod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OS / 内核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CentOS 7，kernel 5.4.278-1.elrepo.x86_64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容器运行时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docker 26.1.4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实际用量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master 1.6 核（10%）/ 100375Mi（77%）；worker1 1.8 核（2%）/ 77953Mi（60%）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Pod 总数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219 个，39 个命名空间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管理面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Rancher（cattle-cluster-agent + rancher-webhook）；Fleet 已装（fleet-default / fleet-local）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服务网格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Istio 已安装但注入基本关闭，勿擅开，会影响存量服务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存储类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local-path（默认）+ nfs-client（支持扩容）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本地盘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master：/ 50G 已用 36G，仅余 15G；/home 418G 已用 324G，余 94G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入口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ingress-nginx NodePort 32231(80) / 32232(443)；300xx/3xxxx 段 NodePort 已被大量占用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SSH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root@10.167.2.175、root@10.167.2.176 免密可用（委托方配置）</w:t>
            </w:r>
          </w:p>
        </w:tc>
      </w:tr>
    </w:tbl>
    <w:p>
      <w:pPr>
        <w:pStyle w:val="Heading3"/>
      </w:pPr>
      <w:r>
        <w:t>1.2 存量中间件（infra 命名空间，全部可复用）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组件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Service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端口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Pulsar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pulsar-broker.infra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6650 / 8080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事件总线（替代 Kafka），2 bookie + ZK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TiDB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tidb.infra / tidb-np.infra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4000 / NodePort 30210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业务库（HTAP）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TiFlash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tiflash.infra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20170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列式加速，跨基地对标分析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TiKV / PD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tikv.infra / pd.infra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20160 / 2379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TiDB 底层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Milvus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milvus.infra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19530 / 30909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向量检索（维修手册 RAG）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MinIO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milvus-minio.infra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9000 / 9001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对象存储（随 Milvus）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NebulaGraph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nebula-graphd.infra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9669 / 19669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故障知识图谱（替代 Neo4j）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CockroachDB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cockroachdb(-a/-b/-read).infra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26257 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可选分布式 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Redis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redis.infra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6379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缓存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Nacos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nacos.infra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8848 / 30910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注册配置中心（Java 生态契合）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attu / kt-service / vector-reranker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infra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3000 / 8086 / 8090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Milvus 客户端 / 检索服务</w:t>
            </w:r>
          </w:p>
        </w:tc>
      </w:tr>
    </w:tbl>
    <w:p>
      <w:pPr>
        <w:pStyle w:val="Heading3"/>
      </w:pPr>
      <w:r>
        <w:t>1.3 存量 AI 与平台能力（ai-platform 命名空间）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组件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Service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LiteLLM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litellm.ai-platform:4000 / NodePort 30083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多模型网关（v1 已选，直接复用）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Ollama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ollama-master.ai-platform:11434、ollama-worker*、NodePort 30086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本地模型，满足数据不出厂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embed-proxy / vector-reranker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embed-proxy.ai-platform:8088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嵌入与重排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Open WebUI / JupyterLab / code-server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NodePort 30084 / 30088 / 30087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交互与开发</w:t>
            </w:r>
          </w:p>
        </w:tc>
      </w:tr>
    </w:tbl>
    <w:p>
      <w:pPr>
        <w:pStyle w:val="Heading3"/>
      </w:pPr>
      <w:r>
        <w:t>1.4 存量数据与可观测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组件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位置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PostgreSQL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dify-plus/db-postgres:5432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已有但属 Dify，不建议混用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Redis8 集群 / Weaviate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dify-plus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Dify 应用自用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Prometheus / Grafana / Alertmanager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monitoring（Grafana NodePort 30082，ops.platform.local）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可观测直接复用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Loki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loki-stack.monitoring:3100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日志直接复用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Dify（两套）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dify / dify-plus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LLM 应用编排，可作智能体原型试验场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load-testing / kubevirt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独立命名空间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已有压测环境；kubevirt 可做遗留协议仿真测试床</w:t>
            </w:r>
          </w:p>
        </w:tc>
      </w:tr>
    </w:tbl>
    <w:p>
      <w:pPr>
        <w:pStyle w:val="Heading3"/>
      </w:pPr>
      <w:r>
        <w:t>1.5 十条关键判断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判断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依据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J1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事件总线用 Pulsar，不新建 Kafka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已存在，且 tenant/namespace 多租户模型匹配 20 基地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J2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读侧分析用 TiDB + TiFlash，不上 ClickHouse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已存在，TiFlash 列式足以支撑对标聚合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J3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向量库用 Milvus，图库用 NebulaGraph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均已存在，少建 2 个组件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J4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可观测不自建，OTel Collector 推送到现有 Prometheus / Loki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已有完整栈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J5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LLM 链路用 LiteLLM + Ollama（本地）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已存在，本地化满足数据不出厂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J6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关系库需新建专用 PG（不复用 Dify 的）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生产隔离；PG 主从天然支撑 CQRS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J7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时序库必须新建（集群无 TDengine / InfluxDB）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唯一必须新建的核心存储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J8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MQTT 用 Pulsar 的 MQTT on Pulsar 适配器，不引 EMQX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复用已有，少一个组件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J9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这是教学/实验平台集群（openedx / jupyterhub / dataagent-course / ai-platform / dify）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生产负载必须强隔离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J10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磁盘是最大容量风险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master / 仅余 15G，波形存储需另找承载</w:t>
            </w:r>
          </w:p>
        </w:tc>
      </w:tr>
    </w:tbl>
    <w:p>
      <w:pPr>
        <w:ind w:left="360"/>
      </w:pPr>
      <w:r>
        <w:rPr>
          <w:i/>
          <w:color w:val="4A5158"/>
        </w:rPr>
        <w:t>J9 是本次盘点最重要的结论。 这个集群承载教学与实验业务，PdM 上生产必须做到四条： 1. 独立命名空间 pdm-prod + ResourceQuota + LimitRange + NetworkPolicy 默认拒绝 2. 数据密集组件（TDengine / PG）调度到 k8s-worker1，避免污染 master 3. 原始波形放 NFS 或外部存储，绝不放 master / 4. 与平台方书面确认资源预留，明确"这是生产负载，请勿误删"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多语言职责矩阵</w:t>
      </w:r>
    </w:p>
    <w:p>
      <w:pPr>
        <w:pStyle w:val="Heading3"/>
      </w:pPr>
      <w:r>
        <w:t>2.1 分工表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语言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承担域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具体职责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选它的理由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不选它的理由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Rust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监测域（边缘）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协议解析（Modbus/OPC UA/S7/MQTT）、DSP 计算核（FFT/包络/希尔伯特）、波形编解码、边缘采集代理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无 GC、零成本抽象、内存可控、单线程 DSP 吞吐高、24×7 长稳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生态不如 Python，AI 算法难写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Go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运营域 + 基础设施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Kafka/Pulsar 消费管线、GraphQL BFF 网关、告警路由、审计链、读模型投影器、OTel Collector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高并发 I/O、二进制单文件、K8s 生态原生、部署极简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数值计算不如 Rust，生态不如 Java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Java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资产域 + 知识域 + 应用集成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组织树与权限（复杂层级）、EAM/ERP/SAP 适配、规则引擎、判据库管理、多租户管理、BPM 审批流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企业中间件生态最全、连接器丰富、注册中心 Nacos 天然契合、运维体系成熟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启动慢、内存占用高、不适合高频 DSP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Python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诊断/预后/决策/智能体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特征工程、HI/RUL 算法、模型服务、Agent Harness 运行时、MCP Server、会诊、报告渲染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AI 生态唯一选择，无法替代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并发与长稳弱，不适合做网关与协议栈</w:t>
            </w:r>
          </w:p>
        </w:tc>
      </w:tr>
    </w:tbl>
    <w:p>
      <w:pPr>
        <w:pStyle w:val="Heading3"/>
      </w:pPr>
      <w:r>
        <w:t>2.2 边界规则（防止语言战争）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规则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按部署边界划分，不按目录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每种语言是一个独立构建单元、独立镜像、独立发布线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跨语言一律走接口，不走 FFI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优先 gRPC / Pulsar，禁止 Rust cdylib 被 Python 直接调（调试地狱）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DSP 核可作为独立 Rust 服务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Python 通过 gRPC 调用 dsp-service，而不是引入 C 扩展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共享契约单独成仓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pdm-contracts 仓维护 protobuf / JSON Schema / CloudEvents schema，多语言生成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统一门禁，不统一语言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单测覆盖率、SAST、SBOM、镜像签名对四种语言一视同仁</w:t>
            </w:r>
          </w:p>
        </w:tc>
      </w:tr>
    </w:tbl>
    <w:p>
      <w:pPr>
        <w:pStyle w:val="Heading3"/>
      </w:pPr>
      <w:r>
        <w:t>2.3 跨语言调用矩阵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Rust ──gRPC──▶ Go     （协议解析结果 → 事件管线）</w:t>
        <w:br/>
        <w:t>Go   ──gRPC──▶ Java   （资产/权限查询）</w:t>
        <w:br/>
        <w:t>Go   ──gRPC──▶ Python （读模型 → 智能体工具）</w:t>
        <w:br/>
        <w:t>Rust ──gRPC──▶ Python （DSP 特征 → 诊断算法）</w:t>
        <w:br/>
        <w:t>Java ──gRPC──▶ External EAM/ERP</w:t>
        <w:br/>
        <w:t>Python ──grpc──▶ 全部（Agent 作为编排方）</w:t>
      </w:r>
    </w:p>
    <w:p>
      <w:r>
        <w:rPr>
          <w:b/>
        </w:rPr>
        <w:t>唯一例外</w:t>
      </w:r>
      <w:r>
        <w:rPr>
          <w:b w:val="0"/>
        </w:rPr>
        <w:t xml:space="preserve">：Python 调 Rust DSP 时，若延迟敏感可编译为 </w:t>
      </w:r>
      <w:r>
        <w:rPr>
          <w:rFonts w:ascii="Consolas" w:hAnsi="Consolas"/>
          <w:b w:val="0"/>
          <w:color w:val="0B4F75"/>
          <w:sz w:val="19"/>
        </w:rPr>
        <w:t>pdm-signal</w:t>
      </w:r>
      <w:r>
        <w:rPr>
          <w:b w:val="0"/>
        </w:rPr>
        <w:t xml:space="preserve"> 的 </w:t>
      </w:r>
      <w:r>
        <w:rPr>
          <w:rFonts w:ascii="Consolas" w:hAnsi="Consolas"/>
          <w:b w:val="0"/>
          <w:color w:val="0B4F75"/>
          <w:sz w:val="19"/>
        </w:rPr>
        <w:t>cdylib</w:t>
      </w:r>
      <w:r>
        <w:rPr>
          <w:b w:val="0"/>
        </w:rPr>
        <w:t xml:space="preserve"> 通过 </w:t>
      </w:r>
      <w:r>
        <w:rPr>
          <w:rFonts w:ascii="Consolas" w:hAnsi="Consolas"/>
          <w:b w:val="0"/>
          <w:color w:val="0B4F75"/>
          <w:sz w:val="19"/>
        </w:rPr>
        <w:t>pyo3</w:t>
      </w:r>
      <w:r>
        <w:rPr>
          <w:b w:val="0"/>
        </w:rPr>
        <w:t xml:space="preserve"> 暴露，</w:t>
      </w:r>
      <w:r>
        <w:rPr>
          <w:b/>
        </w:rPr>
        <w:t>但仅限纯函数（无状态、无 IO）</w:t>
      </w:r>
      <w:r>
        <w:rPr>
          <w:b w:val="0"/>
        </w:rPr>
        <w:t>，且必须有用例覆盖。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仓库与构建体系</w:t>
      </w:r>
    </w:p>
    <w:p>
      <w:pPr>
        <w:pStyle w:val="Heading3"/>
      </w:pPr>
      <w:r>
        <w:t>3.1 仓库结构（Monorepo + 语言子目录）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diting-pdm/</w:t>
        <w:br/>
        <w:t>├── contracts/                 # 多语言共享契约（独立发版）</w:t>
        <w:br/>
        <w:t>│   ├── proto/                 # gRPC 定义</w:t>
        <w:br/>
        <w:t>│   ├── jsonschema/            # 工具与事件 schema</w:t>
        <w:br/>
        <w:t>│   └── events/                # CloudEvents schema</w:t>
        <w:br/>
        <w:t>├── services/</w:t>
        <w:br/>
        <w:t>│   ├── rust-ingest/           # Rust：协议 + DSP</w:t>
        <w:br/>
        <w:t>│   ├── rust-dsp-core/         # Rust：数值核（可被 Python 绑定）</w:t>
        <w:br/>
        <w:t>│   ├── go-eventpipe/          # Go：Pulsar 消费 + 投影</w:t>
        <w:br/>
        <w:t>│   ├── go-graphql-bff/        # Go：GraphQL 网关</w:t>
        <w:br/>
        <w:t>│   ├── go-alert-router/       # Go：告警路由</w:t>
        <w:br/>
        <w:t>│   ├── go-audit-chain/        # Go：审计链</w:t>
        <w:br/>
        <w:t>│   ├── java-asset/            # Java：资产与权限</w:t>
        <w:br/>
        <w:t>│   ├── java-knowledge/        # Java：判据/故障模式库</w:t>
        <w:br/>
        <w:t>│   ├── java-eam-adapter/      # Java：企业集成</w:t>
        <w:br/>
        <w:t>│   ├── python-diagnosis/      # Python：诊断</w:t>
        <w:br/>
        <w:t>│   ├── python-prognosis/      # Python：预后</w:t>
        <w:br/>
        <w:t>│   ├── python-decision/       # Python：会诊</w:t>
        <w:br/>
        <w:t>│   ├── python-agent/          # Python：Harness</w:t>
        <w:br/>
        <w:t>│   └── python-mcp/            # Python：MCP Server</w:t>
        <w:br/>
        <w:t>└── deploy/                    # Helm + Fleet GitOps</w:t>
      </w:r>
    </w:p>
    <w:p>
      <w:pPr>
        <w:pStyle w:val="Heading3"/>
      </w:pPr>
      <w:r>
        <w:t>3.2 多语言流水线（统一门禁）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 xml:space="preserve">                ┌──────────────────────────────┐</w:t>
        <w:br/>
        <w:t xml:space="preserve">   触发          │ Language Router（按变更路径）   │</w:t>
        <w:br/>
        <w:t xml:space="preserve">                └───────────┬──────────────────┘</w:t>
        <w:br/>
        <w:t xml:space="preserve">                            │</w:t>
        <w:br/>
        <w:t xml:space="preserve">        ┌─────────┬─────────┼─────────┬─────────┐</w:t>
        <w:br/>
        <w:t xml:space="preserve">        ▼         ▼         ▼         ▼         ▼</w:t>
        <w:br/>
        <w:t xml:space="preserve">     Rust      Go        Java    Python   contracts</w:t>
        <w:br/>
        <w:t xml:space="preserve">        │         │         │         │         │</w:t>
        <w:br/>
        <w:t xml:space="preserve">     cargo    go test   mvn test  pytest   buf/schema</w:t>
        <w:br/>
        <w:t xml:space="preserve">     clippy   vet       spotbugs  ruff    lint</w:t>
        <w:br/>
        <w:t xml:space="preserve">     SAST     SAST      SAST      SAST    breaking-check</w:t>
        <w:br/>
        <w:t xml:space="preserve">                            │</w:t>
        <w:br/>
        <w:t xml:space="preserve">                            ▼</w:t>
        <w:br/>
        <w:t xml:space="preserve">                ┌──────────────────────────────┐</w:t>
        <w:br/>
        <w:t xml:space="preserve">                │ 统一质量门禁（与语言无关）        │</w:t>
        <w:br/>
        <w:t xml:space="preserve">                │ · 覆盖率统一阈值 80%（核心 90%） │</w:t>
        <w:br/>
        <w:t xml:space="preserve">                │ · SAST 无高危                  │</w:t>
        <w:br/>
        <w:t xml:space="preserve">                │ · 依赖扫描 CVSS≥7 阻断         │</w:t>
        <w:br/>
        <w:t xml:space="preserve">                │ · SBOM 生成 + 镜像签名          │</w:t>
        <w:br/>
        <w:t xml:space="preserve">                │ · 契约测试（protobuf/事件schema）│</w:t>
        <w:br/>
        <w:t xml:space="preserve">                └──────────────────────────────┘</w:t>
      </w:r>
    </w:p>
    <w:p>
      <w:pPr>
        <w:ind w:left="360"/>
      </w:pPr>
      <w:r>
        <w:rPr>
          <w:i/>
          <w:color w:val="4A5158"/>
        </w:rPr>
        <w:t>门禁必须统一。 多语言项目最常见的失败是"Python 严、Rust 松"，三个月后质量分层、互相甩锅。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基础设施适配设计</w:t>
      </w:r>
    </w:p>
    <w:p>
      <w:pPr>
        <w:pStyle w:val="Heading3"/>
      </w:pPr>
      <w:r>
        <w:t>4.1 复用矩阵（决定 D14 / D15 的最终答案）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能力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v1 计划的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v2 实际（复用存量）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变更原因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消息总线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Kafka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Pulsar（pulsar-broker.infra:6650）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已存在 + 多租户原生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时序库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TDengine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仍需新建 TDengine（集群无）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无替代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关系库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PostgreSQL 16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新建专用 PG16（不复用 Dify 的）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需 RLS 做多租户硬隔离，见 docs/17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分析读模型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TiDB + TiFlash（复用）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已存在且够用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缓存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Redis 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Redis（redis.infra）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已存在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向量库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pgvector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Milvus（milvus.infra）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已存在，专业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图库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Neo4j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NebulaGraph（nebula-graphd.infra）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已存在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对象存储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MinIO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MinIO（milvus-minio.infra）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已存在，需确认配额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注册配置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自研 + Consul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Nacos（nacos.infra）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已存在，Java 生态契合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LLM 网关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LiteLLM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LiteLLM（litellm.ai-platform）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已存在（版本较旧需确认）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本地推理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vLLM 自建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Ollama（ollama-*.ai-platform）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已存在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可观测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自建 OTel 全家桶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OTel Collector + 现有 Prometheus / Grafana / Loki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已存在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CI/CD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Harness.io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Harness.io 或 Fleet GitOps（Fleet 已装，优先）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Fleet 适配边缘管理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边缘管理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自研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Rancher Fleet（已装）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20 基地边缘管理天然适配</w:t>
            </w:r>
          </w:p>
        </w:tc>
      </w:tr>
    </w:tbl>
    <w:p>
      <w:r>
        <w:rPr>
          <w:b/>
        </w:rPr>
        <w:t>净结果：需要新建的核心组件只剩 3 个</w:t>
      </w:r>
      <w:r>
        <w:rPr>
          <w:b w:val="0"/>
        </w:rPr>
        <w:t>：TDengine、PG16、本项目自身服务。这显著降低了交付成本，也证明"先盘点再设计"是对的。</w:t>
      </w:r>
    </w:p>
    <w:p>
      <w:pPr>
        <w:pStyle w:val="Heading3"/>
      </w:pPr>
      <w:r>
        <w:t>4.2 部署隔离设计（namespace: pdm-prod）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namespace: pdm-prod</w:t>
        <w:br/>
        <w:t>├── ResourceQuota: cpu 20 核 / mem 60Gi / pods 80</w:t>
        <w:br/>
        <w:t>├── LimitRange: 默认 requests/limits</w:t>
        <w:br/>
        <w:t>├── NetworkPolicy: 默认拒绝，显式放行</w:t>
        <w:br/>
        <w:t>│     ├── 允许 → infra（pulsar / tidb / milvus / nebula / redis / nacos）</w:t>
        <w:br/>
        <w:t>│     ├── 允许 → ai-platform（litellm / ollama）</w:t>
        <w:br/>
        <w:t>│     ├── 允许 → monitoring（prometheus remote-write / loki）</w:t>
        <w:br/>
        <w:t>│     └── 允许 → ingress-nginx</w:t>
        <w:br/>
        <w:t>├── 节点亲和：TDengine / PG 强制调度到 k8s-worker1</w:t>
        <w:br/>
        <w:t>└── PriorityClass: pdm-prod-high（避免被批量任务抢占）</w:t>
      </w:r>
    </w:p>
    <w:p>
      <w:pPr>
        <w:pStyle w:val="Heading3"/>
      </w:pPr>
      <w:r>
        <w:t>4.3 存储规划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数据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大小估算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存放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理由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原始波形（90 天）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200 GB/年 × 20 基地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边缘本地盘（不上传）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合规 + 带宽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特征值（3 年）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数十 GB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TDengine（PV 用 local-path on worker1）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高频写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业务对象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&lt; 10 GB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PG16（PV local-path on worker1）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维修手册 / 报告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数十 GB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MinIO 或 NFS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模型权重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数十 GB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NFS（nfs-client，支持扩容）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训练与推理共享</w:t>
            </w:r>
          </w:p>
        </w:tc>
      </w:tr>
    </w:tbl>
    <w:p>
      <w:pPr>
        <w:ind w:left="360"/>
      </w:pPr>
      <w:r>
        <w:rPr>
          <w:i/>
          <w:color w:val="4A5158"/>
        </w:rPr>
        <w:t>波形绝不放 master 的 /（仅余 15G）。若中心需留存波形，必须单独申请块存储或扩容 NFS。</w:t>
      </w:r>
    </w:p>
    <w:p>
      <w:pPr>
        <w:pStyle w:val="Heading3"/>
      </w:pPr>
      <w:r>
        <w:t>4.4 入口与域名规划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用途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地址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Web 控制台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pdm.10.167.2.175.nip.io 或内网 DNS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ingress-nginx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GraphQL BFF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pdm-gql.10.167.2.175.nip.io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ingress-nginx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服务互访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*.pdm.svc.cluster.local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K8s DNS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存量服务互访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pulsar-broker.infra.svc.cluster.local 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K8s DNS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NodePort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避开已占用段（30082-30092 / 30205 / 30210 / 30909 / 30910 / 31562 / 31703 / 3181）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优先改用 Ingress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需要委托方提供或确认的清单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事项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用途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阻塞等级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I1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Pulsar 的 pdm tenant 创建权限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事件总线落地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阻塞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I2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TiDB / TiFlash / Milvus / Nebula / Redis / Nacos 的连接账号与配额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读侧与知识库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阻塞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I3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pdm-prod 命名空间与 ResourceQuota 审批（平台方）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部署隔离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阻塞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I4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worker1 可分配的本地盘容量（当前 /home 余 94G）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TDengine / PG PV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阻塞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I5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LiteLLM 当前版本、可用模型清单、可否新增 key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智能体链路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I6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Ollama 已部署模型列表与内存/显存余量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本地推理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I7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Milvus 现有 collection 计划与 MinIO 配额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向量库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I8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集群是否有 CSI 块存储可供 TDengine 使用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时序库性能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I9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网络策略现状（是否已有默认拒绝）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安全基线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一般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I10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20 基地边缘是否都在 Rancher 纳管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Fleet 边缘管理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一般</w:t>
            </w:r>
          </w:p>
        </w:tc>
      </w:tr>
    </w:tbl>
    <w:p>
      <w:pPr>
        <w:ind w:left="360"/>
      </w:pPr>
      <w:r>
        <w:rPr>
          <w:i/>
          <w:color w:val="4A5158"/>
        </w:rPr>
        <w:t>拿到 I1–I4 后，D14（事件总线）与 D15（读侧分析）即可从"建议"变为"定论"：Pulsar + TiDB/TiFlash。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6. 本节对 v1 文档的修正汇总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文档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修正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docs/03 §5.1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技术栈：Kafka → Pulsar；Neo4j → NebulaGraph；pgvector → Milvus；PG 标注"新建专用"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docs/05 §11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模型选型改为"LiteLLM + Ollama（存量）"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docs/06 §1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增加 Pulsar 作为服务间异步通道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docs/08 §10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测试环境改为"复用存量中间件 + 仅新建 TDengine/PG"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docs/09 §5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边缘更新从 ArgoCD 改为 Fleet（若 20 基地在 Rancher 纳管）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docs/12 §2.2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开源选型表补充 NebulaGraph / Pulsar / TiDB 已存在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全域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单集群假设 → "中心集群 + 20 边缘"；单租户 → 多租户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