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3 次课教案：REST 契约与接口测试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3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LF2 接口设计与微服务（3-5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[理解] 解读 /recommend 请求/响应契约的 6 个字段 —— Understand：能够解释与举例</w:t>
      </w:r>
    </w:p>
    <w:p>
      <w:pPr>
        <w:pStyle w:val="ListBullet"/>
      </w:pPr>
      <w:r>
        <w:rPr>
          <w:rFonts w:ascii="微软雅黑" w:hAnsi="微软雅黑" w:eastAsia="微软雅黑"/>
        </w:rPr>
        <w:t>[应用] 执行参数校验用例（空参/错误类型）并记录 422 响应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分析契约不一致会导致的线上事故 —— Analyze：能够拆解与归因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重点：请求体字段：city/days/budget/travelers/preferences/membershipTier；响应 6 区块；FastAPI 422 校验</w:t>
      </w:r>
    </w:p>
    <w:p>
      <w:pPr>
        <w:pStyle w:val="ListBullet"/>
      </w:pPr>
      <w:r>
        <w:rPr>
          <w:rFonts w:ascii="微软雅黑" w:hAnsi="微软雅黑" w:eastAsia="微软雅黑"/>
        </w:rPr>
        <w:t>难点：契约是约定不是文档——双方必须一致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真实事故案例：字段改名导致前端白屏；讲契约测试思想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小组从用例表选 5 个用例设计输入数据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组间交换用例互补（边界值/异常值覆盖）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curl 逐条执行用例（含 422 校验、六字段断言、多城市对比）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对照接口用例表互查；截图留证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总结：契约即法律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费曼题目：讲清：契约不一致会发生什么事故（举一个具体场景）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Q：/recommend 的响应有哪 6 个字段？</w:t>
      </w:r>
    </w:p>
    <w:p>
      <w:pPr>
        <w:pStyle w:val="ListBullet"/>
      </w:pPr>
      <w:r>
        <w:rPr>
          <w:rFonts w:ascii="微软雅黑" w:hAnsi="微软雅黑" w:eastAsia="微软雅黑"/>
        </w:rPr>
        <w:t>A：city/days/hotel_options/transport_options/itinerary/engagement_recommendations</w:t>
      </w:r>
    </w:p>
    <w:p>
      <w:pPr>
        <w:pStyle w:val="ListBullet"/>
      </w:pPr>
      <w:r>
        <w:rPr>
          <w:rFonts w:ascii="微软雅黑" w:hAnsi="微软雅黑" w:eastAsia="微软雅黑"/>
        </w:rPr>
        <w:t>Q：days 传字符串 abc 会返回什么状态码？</w:t>
      </w:r>
    </w:p>
    <w:p>
      <w:pPr>
        <w:pStyle w:val="ListBullet"/>
      </w:pPr>
      <w:r>
        <w:rPr>
          <w:rFonts w:ascii="微软雅黑" w:hAnsi="微软雅黑" w:eastAsia="微软雅黑"/>
        </w:rPr>
        <w:t>A：422（FastAPI 参数校验）</w:t>
      </w:r>
    </w:p>
    <w:p>
      <w:pPr>
        <w:pStyle w:val="ListBullet"/>
      </w:pPr>
      <w:r>
        <w:rPr>
          <w:rFonts w:ascii="微软雅黑" w:hAnsi="微软雅黑" w:eastAsia="微软雅黑"/>
        </w:rPr>
        <w:t>Q：契约的单一事实源放哪里？</w:t>
      </w:r>
    </w:p>
    <w:p>
      <w:pPr>
        <w:pStyle w:val="ListBullet"/>
      </w:pPr>
      <w:r>
        <w:rPr>
          <w:rFonts w:ascii="微软雅黑" w:hAnsi="微软雅黑" w:eastAsia="微软雅黑"/>
        </w:rPr>
        <w:t>A：data-contracts/（GraphQL SDL + proto + OpenAPI）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课后作业：补 3 个边界用例（days=0/负数/超大值）并记录响应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企业衔接：企业案例：师傅分享一次线上接口事故复盘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课件：[ppt/L03.pptx](../ppt/L03.pptx)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