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第 13 次课教案：K6+Locust 压测实战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周次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第 13 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学习领域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LF5 质量保障（11-13 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4 学时（180 分钟）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场所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【企】合作企业机房（真实集群）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教学方法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双元制六步法 + 费曼时刻 + 布鲁姆分层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一、教学目标（布鲁姆分层）</w:t>
      </w:r>
    </w:p>
    <w:p>
      <w:pPr>
        <w:pStyle w:val="ListBullet"/>
      </w:pPr>
      <w:r>
        <w:rPr>
          <w:rFonts w:ascii="微软雅黑" w:hAnsi="微软雅黑" w:eastAsia="微软雅黑"/>
        </w:rPr>
        <w:t>[应用] 执行一轮 K6 压测并解读 thresholds 结果 —— Apply：能够在真实环境执行</w:t>
      </w:r>
    </w:p>
    <w:p>
      <w:pPr>
        <w:pStyle w:val="ListBullet"/>
      </w:pPr>
      <w:r>
        <w:rPr>
          <w:rFonts w:ascii="微软雅黑" w:hAnsi="微软雅黑" w:eastAsia="微软雅黑"/>
        </w:rPr>
        <w:t>[分析] 分析 50VU 与 200VU 两轮数据差异的瓶颈 —— Analyze：能够拆解与归因</w:t>
      </w:r>
    </w:p>
    <w:p>
      <w:pPr>
        <w:pStyle w:val="ListBullet"/>
      </w:pPr>
      <w:r>
        <w:rPr>
          <w:rFonts w:ascii="微软雅黑" w:hAnsi="微软雅黑" w:eastAsia="微软雅黑"/>
        </w:rPr>
        <w:t>[评价] 评价阈值门禁设计（P95&lt;300ms） —— Evaluate：能够依据标准评判</w:t>
      </w:r>
    </w:p>
    <w:p>
      <w:pPr>
        <w:pStyle w:val="Heading2"/>
      </w:pPr>
      <w:r>
        <w:rPr>
          <w:rFonts w:ascii="黑体" w:hAnsi="黑体" w:eastAsia="黑体"/>
          <w:color w:val="065A82"/>
        </w:rPr>
        <w:t>二、重点与难点</w:t>
      </w:r>
    </w:p>
    <w:p>
      <w:pPr>
        <w:pStyle w:val="ListBullet"/>
      </w:pPr>
      <w:r>
        <w:rPr>
          <w:rFonts w:ascii="微软雅黑" w:hAnsi="微软雅黑" w:eastAsia="微软雅黑"/>
        </w:rPr>
        <w:t>重点：k6 Job 集群内执行；Locust master/worker；基线：252 req/s、P95 262ms</w:t>
      </w:r>
    </w:p>
    <w:p>
      <w:pPr>
        <w:pStyle w:val="ListBullet"/>
      </w:pPr>
      <w:r>
        <w:rPr>
          <w:rFonts w:ascii="微软雅黑" w:hAnsi="微软雅黑" w:eastAsia="微软雅黑"/>
        </w:rPr>
        <w:t>难点：为什么 200VU 吞吐反而下降（单 pod CPU limit）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三、教学过程设计（双元制六步法，180 分钟）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德语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时长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活动设计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资讯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Informieren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压测报告解读（三轮数据表）；k6 与 locust 分工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计划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Planen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小组定 VU 档位与观察指标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决策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Entscheiden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压测报备与安全边界（不轰炸生产 ns）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实施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Durchführen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70min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复跑 K6 Job → 采集 metrics → Locust UI 一轮 → 数据填表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检查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Kontrollieren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与基线对比（正负 15% 内合格）；异常数据复盘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评价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Bewerten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费曼×3 + 各组数据对比点评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四、费曼学习法环节</w:t>
      </w:r>
    </w:p>
    <w:p>
      <w:pPr>
        <w:pStyle w:val="ListBullet"/>
      </w:pPr>
      <w:r>
        <w:rPr>
          <w:rFonts w:ascii="微软雅黑" w:hAnsi="微软雅黑" w:eastAsia="微软雅黑"/>
        </w:rPr>
        <w:t>费曼题目：讲清：P95 和平均值哪个重要（长尾体验）</w:t>
      </w:r>
    </w:p>
    <w:p>
      <w:pPr>
        <w:pStyle w:val="ListBullet"/>
      </w:pPr>
      <w:r>
        <w:rPr>
          <w:rFonts w:ascii="微软雅黑" w:hAnsi="微软雅黑" w:eastAsia="微软雅黑"/>
        </w:rPr>
        <w:t>规则：抽签 3 人 × 3 分钟；禁用未解释术语（听众举红牌即重讲）；当场补漏成功得满分</w:t>
      </w:r>
    </w:p>
    <w:p>
      <w:pPr>
        <w:pStyle w:val="ListBullet"/>
      </w:pPr>
      <w:r>
        <w:rPr>
          <w:rFonts w:ascii="微软雅黑" w:hAnsi="微软雅黑" w:eastAsia="微软雅黑"/>
        </w:rPr>
        <w:t>评分：清晰度 2 分 + 类比质量 2 分 + 应对追问 1 分（计入过程考核素质分）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五、布鲁姆达成检验（随堂快测）</w:t>
      </w:r>
    </w:p>
    <w:p>
      <w:pPr>
        <w:pStyle w:val="ListBullet"/>
      </w:pPr>
      <w:r>
        <w:rPr>
          <w:rFonts w:ascii="微软雅黑" w:hAnsi="微软雅黑" w:eastAsia="微软雅黑"/>
        </w:rPr>
        <w:t>Q：50VU 稳态吞吐和 P95？</w:t>
      </w:r>
    </w:p>
    <w:p>
      <w:pPr>
        <w:pStyle w:val="ListBullet"/>
      </w:pPr>
      <w:r>
        <w:rPr>
          <w:rFonts w:ascii="微软雅黑" w:hAnsi="微软雅黑" w:eastAsia="微软雅黑"/>
        </w:rPr>
        <w:t>A：252 req/s、262ms</w:t>
      </w:r>
    </w:p>
    <w:p>
      <w:pPr>
        <w:pStyle w:val="ListBullet"/>
      </w:pPr>
      <w:r>
        <w:rPr>
          <w:rFonts w:ascii="微软雅黑" w:hAnsi="微软雅黑" w:eastAsia="微软雅黑"/>
        </w:rPr>
        <w:t>Q：200VU 时瓶颈在哪？</w:t>
      </w:r>
    </w:p>
    <w:p>
      <w:pPr>
        <w:pStyle w:val="ListBullet"/>
      </w:pPr>
      <w:r>
        <w:rPr>
          <w:rFonts w:ascii="微软雅黑" w:hAnsi="微软雅黑" w:eastAsia="微软雅黑"/>
        </w:rPr>
        <w:t>A：单 pod CPU limit 2 核 + Python GIL</w:t>
      </w:r>
    </w:p>
    <w:p>
      <w:pPr>
        <w:pStyle w:val="ListBullet"/>
      </w:pPr>
      <w:r>
        <w:rPr>
          <w:rFonts w:ascii="微软雅黑" w:hAnsi="微软雅黑" w:eastAsia="微软雅黑"/>
        </w:rPr>
        <w:t>Q：k6 阈值失败会怎样？</w:t>
      </w:r>
    </w:p>
    <w:p>
      <w:pPr>
        <w:pStyle w:val="ListBullet"/>
      </w:pPr>
      <w:r>
        <w:rPr>
          <w:rFonts w:ascii="微软雅黑" w:hAnsi="微软雅黑" w:eastAsia="微软雅黑"/>
        </w:rPr>
        <w:t>A：退出码非 0 → CI 门禁红</w:t>
      </w:r>
    </w:p>
    <w:p>
      <w:pPr>
        <w:pStyle w:val="Heading2"/>
      </w:pPr>
      <w:r>
        <w:rPr>
          <w:rFonts w:ascii="黑体" w:hAnsi="黑体" w:eastAsia="黑体"/>
          <w:color w:val="065A82"/>
        </w:rPr>
        <w:t>六、课后任务与企业衔接</w:t>
      </w:r>
    </w:p>
    <w:p>
      <w:pPr>
        <w:pStyle w:val="ListBullet"/>
      </w:pPr>
      <w:r>
        <w:rPr>
          <w:rFonts w:ascii="微软雅黑" w:hAnsi="微软雅黑" w:eastAsia="微软雅黑"/>
        </w:rPr>
        <w:t>课后作业：小组压测报告（数据+瓶颈分析+建议）</w:t>
      </w:r>
    </w:p>
    <w:p>
      <w:pPr>
        <w:pStyle w:val="ListBullet"/>
      </w:pPr>
      <w:r>
        <w:rPr>
          <w:rFonts w:ascii="微软雅黑" w:hAnsi="微软雅黑" w:eastAsia="微软雅黑"/>
        </w:rPr>
        <w:t>企业衔接：企业实战：真实集群压测全流程</w:t>
      </w:r>
    </w:p>
    <w:p>
      <w:pPr>
        <w:pStyle w:val="Heading2"/>
      </w:pPr>
      <w:r>
        <w:rPr>
          <w:rFonts w:ascii="黑体" w:hAnsi="黑体" w:eastAsia="黑体"/>
          <w:color w:val="065A82"/>
        </w:rPr>
        <w:t>七、教学资源</w:t>
      </w:r>
    </w:p>
    <w:p>
      <w:pPr>
        <w:pStyle w:val="ListBullet"/>
      </w:pPr>
      <w:r>
        <w:rPr>
          <w:rFonts w:ascii="微软雅黑" w:hAnsi="微软雅黑" w:eastAsia="微软雅黑"/>
        </w:rPr>
        <w:t>课件：[ppt/L13.pptx](../ppt/L13.pptx)</w:t>
      </w:r>
    </w:p>
    <w:p>
      <w:pPr>
        <w:pStyle w:val="ListBullet"/>
      </w:pPr>
      <w:r>
        <w:rPr>
          <w:rFonts w:ascii="微软雅黑" w:hAnsi="微软雅黑" w:eastAsia="微软雅黑"/>
        </w:rPr>
        <w:t>实训入口：http://10.167.2.175:30181（GraphiQL: /graphql/）</w:t>
      </w:r>
    </w:p>
    <w:p>
      <w:pPr>
        <w:pStyle w:val="ListBullet"/>
      </w:pPr>
      <w:r>
        <w:rPr>
          <w:rFonts w:ascii="微软雅黑" w:hAnsi="微软雅黑" w:eastAsia="微软雅黑"/>
        </w:rPr>
        <w:t>主项目仓库：enterprise-travel-agent（真实现状以 09-项目同步资料 为准）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八、教学反思（课后填写）</w:t>
      </w:r>
    </w:p>
    <w:p>
      <w:pPr>
        <w:pStyle w:val="ListBullet"/>
      </w:pPr>
      <w:r>
        <w:rPr>
          <w:rFonts w:ascii="微软雅黑" w:hAnsi="微软雅黑" w:eastAsia="微软雅黑"/>
        </w:rPr>
        <w:t>目标达成情况：</w:t>
      </w:r>
    </w:p>
    <w:p>
      <w:pPr>
        <w:pStyle w:val="ListBullet"/>
      </w:pPr>
      <w:r>
        <w:rPr>
          <w:rFonts w:ascii="微软雅黑" w:hAnsi="微软雅黑" w:eastAsia="微软雅黑"/>
        </w:rPr>
        <w:t>六步法时间分配是否需要调整：</w:t>
      </w:r>
    </w:p>
    <w:p>
      <w:pPr>
        <w:pStyle w:val="ListBullet"/>
      </w:pPr>
      <w:r>
        <w:rPr>
          <w:rFonts w:ascii="微软雅黑" w:hAnsi="微软雅黑" w:eastAsia="微软雅黑"/>
        </w:rPr>
        <w:t>费曼时刻亮点/卡壳点：</w:t>
      </w:r>
    </w:p>
    <w:p>
      <w:pPr>
        <w:pStyle w:val="ListBullet"/>
      </w:pPr>
      <w:r>
        <w:rPr>
          <w:rFonts w:ascii="微软雅黑" w:hAnsi="微软雅黑" w:eastAsia="微软雅黑"/>
        </w:rPr>
        <w:t>下一课需要补救的内容：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