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第 16 次课教案：项目答辩与费曼展示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周次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第 16 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学习领域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LF6 部署运维与交付（14-16 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学时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4 学时（180 分钟）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场所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【校】+【企】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教学方法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双元制六步法 + 费曼时刻 + 布鲁姆分层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一、教学目标（布鲁姆分层）</w:t>
      </w:r>
    </w:p>
    <w:p>
      <w:pPr>
        <w:pStyle w:val="ListBullet"/>
      </w:pPr>
      <w:r>
        <w:rPr>
          <w:rFonts w:ascii="微软雅黑" w:hAnsi="微软雅黑" w:eastAsia="微软雅黑"/>
        </w:rPr>
        <w:t>[创造] 完成小组综合答辩（架构+数据+演示） —— Create：能够设计新方案</w:t>
      </w:r>
    </w:p>
    <w:p>
      <w:pPr>
        <w:pStyle w:val="ListBullet"/>
      </w:pPr>
      <w:r>
        <w:rPr>
          <w:rFonts w:ascii="微软雅黑" w:hAnsi="微软雅黑" w:eastAsia="微软雅黑"/>
        </w:rPr>
        <w:t>[评价] 评价他组成果并提问质询 —— Evaluate：能够依据标准评判</w:t>
      </w:r>
    </w:p>
    <w:p>
      <w:pPr>
        <w:pStyle w:val="ListBullet"/>
      </w:pPr>
      <w:r>
        <w:rPr>
          <w:rFonts w:ascii="微软雅黑" w:hAnsi="微软雅黑" w:eastAsia="微软雅黑"/>
        </w:rPr>
        <w:t>[创造] 向模拟文旅客户讲清系统价值（费曼终章） —— Create：能够设计新方案</w:t>
      </w:r>
    </w:p>
    <w:p>
      <w:pPr>
        <w:pStyle w:val="Heading2"/>
      </w:pPr>
      <w:r>
        <w:rPr>
          <w:rFonts w:ascii="黑体" w:hAnsi="黑体" w:eastAsia="黑体"/>
          <w:color w:val="065A82"/>
        </w:rPr>
        <w:t>二、重点与难点</w:t>
      </w:r>
    </w:p>
    <w:p>
      <w:pPr>
        <w:pStyle w:val="ListBullet"/>
      </w:pPr>
      <w:r>
        <w:rPr>
          <w:rFonts w:ascii="微软雅黑" w:hAnsi="微软雅黑" w:eastAsia="微软雅黑"/>
        </w:rPr>
        <w:t>重点：答辩结构：架构→数据→演示→扩容；证据链完整性；企业师傅评审</w:t>
      </w:r>
    </w:p>
    <w:p>
      <w:pPr>
        <w:pStyle w:val="ListBullet"/>
      </w:pPr>
      <w:r>
        <w:rPr>
          <w:rFonts w:ascii="微软雅黑" w:hAnsi="微软雅黑" w:eastAsia="微软雅黑"/>
        </w:rPr>
        <w:t>难点：面向非技术评委的表达转换</w:t>
      </w:r>
    </w:p>
    <w:p>
      <w:pPr>
        <w:pStyle w:val="Heading2"/>
      </w:pPr>
      <w:r>
        <w:rPr>
          <w:rFonts w:ascii="黑体" w:hAnsi="黑体" w:eastAsia="黑体"/>
          <w:color w:val="065A82"/>
        </w:rPr>
        <w:t>三、教学过程设计（双元制六步法，180 分钟）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德语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时长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活动设计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资讯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Informieren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答辩规则与评分表说明（技术50+表达30+费曼20）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计划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Planen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各组最后彩排与分工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决策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Entscheiden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出场顺序抽签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实施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Durchführen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100min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六组答辩（每组 15 分钟：陈述 10 + 质询 5）；模拟客户费曼环节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检查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Kontrollieren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评委合议 + 组间互评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评价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Bewerten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颁奖（金牌讲解员/最佳团队）+ 课程总结 + 致企业师傅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四、费曼学习法环节</w:t>
      </w:r>
    </w:p>
    <w:p>
      <w:pPr>
        <w:pStyle w:val="ListBullet"/>
      </w:pPr>
      <w:r>
        <w:rPr>
          <w:rFonts w:ascii="微软雅黑" w:hAnsi="微软雅黑" w:eastAsia="微软雅黑"/>
        </w:rPr>
        <w:t>费曼题目：向模拟文旅客户讲清系统价值（不谈技术术语谈体验）</w:t>
      </w:r>
    </w:p>
    <w:p>
      <w:pPr>
        <w:pStyle w:val="ListBullet"/>
      </w:pPr>
      <w:r>
        <w:rPr>
          <w:rFonts w:ascii="微软雅黑" w:hAnsi="微软雅黑" w:eastAsia="微软雅黑"/>
        </w:rPr>
        <w:t>规则：抽签 3 人 × 3 分钟；禁用未解释术语（听众举红牌即重讲）；当场补漏成功得满分</w:t>
      </w:r>
    </w:p>
    <w:p>
      <w:pPr>
        <w:pStyle w:val="ListBullet"/>
      </w:pPr>
      <w:r>
        <w:rPr>
          <w:rFonts w:ascii="微软雅黑" w:hAnsi="微软雅黑" w:eastAsia="微软雅黑"/>
        </w:rPr>
        <w:t>评分：清晰度 2 分 + 类比质量 2 分 + 应对追问 1 分（计入过程考核素质分）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五、布鲁姆达成检验（随堂快测）</w:t>
      </w:r>
    </w:p>
    <w:p>
      <w:pPr>
        <w:pStyle w:val="ListBullet"/>
      </w:pPr>
      <w:r>
        <w:rPr>
          <w:rFonts w:ascii="微软雅黑" w:hAnsi="微软雅黑" w:eastAsia="微软雅黑"/>
        </w:rPr>
        <w:t>Q：答辩三大证据是什么？</w:t>
      </w:r>
    </w:p>
    <w:p>
      <w:pPr>
        <w:pStyle w:val="ListBullet"/>
      </w:pPr>
      <w:r>
        <w:rPr>
          <w:rFonts w:ascii="微软雅黑" w:hAnsi="微软雅黑" w:eastAsia="微软雅黑"/>
        </w:rPr>
        <w:t>A：架构图+实测数据+可复现演示</w:t>
      </w:r>
    </w:p>
    <w:p>
      <w:pPr>
        <w:pStyle w:val="ListBullet"/>
      </w:pPr>
      <w:r>
        <w:rPr>
          <w:rFonts w:ascii="微软雅黑" w:hAnsi="微软雅黑" w:eastAsia="微软雅黑"/>
        </w:rPr>
        <w:t>Q：费曼环节占答辩多少分？</w:t>
      </w:r>
    </w:p>
    <w:p>
      <w:pPr>
        <w:pStyle w:val="ListBullet"/>
      </w:pPr>
      <w:r>
        <w:rPr>
          <w:rFonts w:ascii="微软雅黑" w:hAnsi="微软雅黑" w:eastAsia="微软雅黑"/>
        </w:rPr>
        <w:t>A：20%</w:t>
      </w:r>
    </w:p>
    <w:p>
      <w:pPr>
        <w:pStyle w:val="ListBullet"/>
      </w:pPr>
      <w:r>
        <w:rPr>
          <w:rFonts w:ascii="微软雅黑" w:hAnsi="微软雅黑" w:eastAsia="微软雅黑"/>
        </w:rPr>
        <w:t>Q：最佳团队的评判标准？</w:t>
      </w:r>
    </w:p>
    <w:p>
      <w:pPr>
        <w:pStyle w:val="ListBullet"/>
      </w:pPr>
      <w:r>
        <w:rPr>
          <w:rFonts w:ascii="微软雅黑" w:hAnsi="微软雅黑" w:eastAsia="微软雅黑"/>
        </w:rPr>
        <w:t>A：技术+表达+费曼综合最高</w:t>
      </w:r>
    </w:p>
    <w:p>
      <w:pPr>
        <w:pStyle w:val="Heading2"/>
      </w:pPr>
      <w:r>
        <w:rPr>
          <w:rFonts w:ascii="黑体" w:hAnsi="黑体" w:eastAsia="黑体"/>
          <w:color w:val="065A82"/>
        </w:rPr>
        <w:t>六、课后任务与企业衔接</w:t>
      </w:r>
    </w:p>
    <w:p>
      <w:pPr>
        <w:pStyle w:val="ListBullet"/>
      </w:pPr>
      <w:r>
        <w:rPr>
          <w:rFonts w:ascii="微软雅黑" w:hAnsi="微软雅黑" w:eastAsia="微软雅黑"/>
        </w:rPr>
        <w:t>课后作业：课程反思报告（500 字）：双元制/费曼/布鲁姆各自的收获</w:t>
      </w:r>
    </w:p>
    <w:p>
      <w:pPr>
        <w:pStyle w:val="ListBullet"/>
      </w:pPr>
      <w:r>
        <w:rPr>
          <w:rFonts w:ascii="微软雅黑" w:hAnsi="微软雅黑" w:eastAsia="微软雅黑"/>
        </w:rPr>
        <w:t>企业衔接：企业师傅评审并颁发企业实践证明</w:t>
      </w:r>
    </w:p>
    <w:p>
      <w:pPr>
        <w:pStyle w:val="Heading2"/>
      </w:pPr>
      <w:r>
        <w:rPr>
          <w:rFonts w:ascii="黑体" w:hAnsi="黑体" w:eastAsia="黑体"/>
          <w:color w:val="065A82"/>
        </w:rPr>
        <w:t>七、教学资源</w:t>
      </w:r>
    </w:p>
    <w:p>
      <w:pPr>
        <w:pStyle w:val="ListBullet"/>
      </w:pPr>
      <w:r>
        <w:rPr>
          <w:rFonts w:ascii="微软雅黑" w:hAnsi="微软雅黑" w:eastAsia="微软雅黑"/>
        </w:rPr>
        <w:t>课件：[ppt/L16.pptx](../ppt/L16.pptx)</w:t>
      </w:r>
    </w:p>
    <w:p>
      <w:pPr>
        <w:pStyle w:val="ListBullet"/>
      </w:pPr>
      <w:r>
        <w:rPr>
          <w:rFonts w:ascii="微软雅黑" w:hAnsi="微软雅黑" w:eastAsia="微软雅黑"/>
        </w:rPr>
        <w:t>实训入口：http://10.167.2.175:30181（GraphiQL: /graphql/）</w:t>
      </w:r>
    </w:p>
    <w:p>
      <w:pPr>
        <w:pStyle w:val="ListBullet"/>
      </w:pPr>
      <w:r>
        <w:rPr>
          <w:rFonts w:ascii="微软雅黑" w:hAnsi="微软雅黑" w:eastAsia="微软雅黑"/>
        </w:rPr>
        <w:t>主项目仓库：enterprise-travel-agent（真实现状以 09-项目同步资料 为准）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八、教学反思（课后填写）</w:t>
      </w:r>
    </w:p>
    <w:p>
      <w:pPr>
        <w:pStyle w:val="ListBullet"/>
      </w:pPr>
      <w:r>
        <w:rPr>
          <w:rFonts w:ascii="微软雅黑" w:hAnsi="微软雅黑" w:eastAsia="微软雅黑"/>
        </w:rPr>
        <w:t>目标达成情况：</w:t>
      </w:r>
    </w:p>
    <w:p>
      <w:pPr>
        <w:pStyle w:val="ListBullet"/>
      </w:pPr>
      <w:r>
        <w:rPr>
          <w:rFonts w:ascii="微软雅黑" w:hAnsi="微软雅黑" w:eastAsia="微软雅黑"/>
        </w:rPr>
        <w:t>六步法时间分配是否需要调整：</w:t>
      </w:r>
    </w:p>
    <w:p>
      <w:pPr>
        <w:pStyle w:val="ListBullet"/>
      </w:pPr>
      <w:r>
        <w:rPr>
          <w:rFonts w:ascii="微软雅黑" w:hAnsi="微软雅黑" w:eastAsia="微软雅黑"/>
        </w:rPr>
        <w:t>费曼时刻亮点/卡壳点：</w:t>
      </w:r>
    </w:p>
    <w:p>
      <w:pPr>
        <w:pStyle w:val="ListBullet"/>
      </w:pPr>
      <w:r>
        <w:rPr>
          <w:rFonts w:ascii="微软雅黑" w:hAnsi="微软雅黑" w:eastAsia="微软雅黑"/>
        </w:rPr>
        <w:t>下一课需要补救的内容：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