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color w:val="065A82"/>
        </w:rPr>
        <w:t>Lab1 环境就绪与首次连通（LF1，随 L02 课）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目标</w:t>
      </w:r>
    </w:p>
    <w:p>
      <w:r>
        <w:rPr>
          <w:rFonts w:ascii="微软雅黑" w:hAnsi="微软雅黑" w:eastAsia="微软雅黑"/>
        </w:rPr>
        <w:t>完成课程实训环境的全部连通性验证，产出《环境就绪检查表》。</w:t>
      </w:r>
    </w:p>
    <w:p>
      <w:pPr>
        <w:pStyle w:val="Heading2"/>
      </w:pPr>
      <w:r>
        <w:rPr>
          <w:rFonts w:ascii="黑体" w:hAnsi="黑体" w:eastAsia="黑体"/>
          <w:color w:val="065A82"/>
        </w:rPr>
        <w:t>前置条件</w:t>
      </w:r>
    </w:p>
    <w:p>
      <w:pPr>
        <w:pStyle w:val="ListBullet"/>
      </w:pPr>
      <w:r>
        <w:rPr>
          <w:rFonts w:ascii="微软雅黑" w:hAnsi="微软雅黑" w:eastAsia="微软雅黑"/>
        </w:rPr>
        <w:t>电脑接入校园/企业局域网（能 ping 通 10.167.2.175）</w:t>
      </w:r>
    </w:p>
    <w:p>
      <w:pPr>
        <w:pStyle w:val="ListBullet"/>
      </w:pPr>
      <w:r>
        <w:rPr>
          <w:rFonts w:ascii="微软雅黑" w:hAnsi="微软雅黑" w:eastAsia="微软雅黑"/>
        </w:rPr>
        <w:t>任意现代浏览器（Chrome/Edge）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步骤</w:t>
      </w:r>
    </w:p>
    <w:p>
      <w:pPr>
        <w:pStyle w:val="ListNumber"/>
      </w:pPr>
      <w:r>
        <w:rPr>
          <w:rFonts w:ascii="微软雅黑" w:hAnsi="微软雅黑" w:eastAsia="微软雅黑"/>
        </w:rPr>
        <w:t>浏览器打开 `http://10.167.2.175:30181/health` → 期望 `{"status":"ok"}`</w:t>
      </w:r>
    </w:p>
    <w:p>
      <w:pPr>
        <w:pStyle w:val="ListNumber"/>
      </w:pPr>
      <w:r>
        <w:rPr>
          <w:rFonts w:ascii="微软雅黑" w:hAnsi="微软雅黑" w:eastAsia="微软雅黑"/>
        </w:rPr>
        <w:t>打开 `http://10.167.2.175:30181/graphql/health` → 期望 `{"status":"graphql-schema-loaded"}`</w:t>
      </w:r>
    </w:p>
    <w:p>
      <w:pPr>
        <w:pStyle w:val="ListNumber"/>
      </w:pPr>
      <w:r>
        <w:rPr>
          <w:rFonts w:ascii="微软雅黑" w:hAnsi="微软雅黑" w:eastAsia="微软雅黑"/>
        </w:rPr>
        <w:t>打开 `http://10.167.2.175:30181/metrics` → 期望 200 并看到 `travel_` 开头的指标</w:t>
      </w:r>
    </w:p>
    <w:p>
      <w:pPr>
        <w:pStyle w:val="ListNumber"/>
      </w:pPr>
      <w:r>
        <w:rPr>
          <w:rFonts w:ascii="微软雅黑" w:hAnsi="微软雅黑" w:eastAsia="微软雅黑"/>
        </w:rPr>
        <w:t>打开 GraphiQL：`http://10.167.2.175:30181/graphql/`</w:t>
      </w:r>
    </w:p>
    <w:p>
      <w:pPr>
        <w:pStyle w:val="ListNumber"/>
      </w:pPr>
      <w:r>
        <w:rPr>
          <w:rFonts w:ascii="微软雅黑" w:hAnsi="微软雅黑" w:eastAsia="微软雅黑"/>
        </w:rPr>
        <w:t>在左侧输入 `query { health }`，点执行 ▶ → 右侧出 `{"data":{"health":"ok"}}`</w:t>
      </w:r>
    </w:p>
    <w:p>
      <w:pPr>
        <w:pStyle w:val="ListNumber"/>
      </w:pPr>
      <w:r>
        <w:rPr>
          <w:rFonts w:ascii="微软雅黑" w:hAnsi="微软雅黑" w:eastAsia="微软雅黑"/>
        </w:rPr>
        <w:t>换 worker 节点重复 1-3（`http://10.167.2.176:30181/...`）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检查单（逐项打钩）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master 节点三探针通过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worker 节点三探针通过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GraphiQL 首查成功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metrics 打开并找到 travel_runtime_requests_total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签名与日期</w:t>
      </w:r>
    </w:p>
    <w:p>
      <w:pPr>
        <w:pStyle w:val="Heading2"/>
      </w:pPr>
      <w:r>
        <w:rPr>
          <w:rFonts w:ascii="黑体" w:hAnsi="黑体" w:eastAsia="黑体"/>
          <w:color w:val="065A82"/>
        </w:rPr>
        <w:t>常见问题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现象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处理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NodePort 不通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换另一节点 IP；仍不通找教师（防火墙）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/graphql 空白页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用带斜杠的 /graphql/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