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Lab3 读写分离验证（LF3，随 L07 课）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目标</w:t>
      </w:r>
    </w:p>
    <w:p>
      <w:r>
        <w:rPr>
          <w:rFonts w:ascii="微软雅黑" w:hAnsi="微软雅黑" w:eastAsia="微软雅黑"/>
        </w:rPr>
        <w:t>理解并验证 RoutingSessionFactory 的路由决策：写落主库、读落副本、副本无写。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步骤</w:t>
      </w:r>
    </w:p>
    <w:p>
      <w:pPr>
        <w:pStyle w:val="ListNumber"/>
      </w:pPr>
      <w:r>
        <w:rPr>
          <w:rFonts w:ascii="微软雅黑" w:hAnsi="微软雅黑" w:eastAsia="微软雅黑"/>
        </w:rPr>
        <w:t>读源码 `services/techgroup-enterprise-travel-runtime/src/travel_agent/db/routing.py`，找到 `_RoutingSyncSession.get_bind`，回答：</w:t>
      </w:r>
    </w:p>
    <w:p>
      <w:pPr>
        <w:pStyle w:val="ListBullet"/>
      </w:pPr>
      <w:r>
        <w:rPr>
          <w:rFonts w:ascii="微软雅黑" w:hAnsi="微软雅黑" w:eastAsia="微软雅黑"/>
        </w:rPr>
        <w:t>flush 时走哪个引擎？</w:t>
      </w:r>
    </w:p>
    <w:p>
      <w:pPr>
        <w:pStyle w:val="ListBullet"/>
      </w:pPr>
      <w:r>
        <w:rPr>
          <w:rFonts w:ascii="微软雅黑" w:hAnsi="微软雅黑" w:eastAsia="微软雅黑"/>
        </w:rPr>
        <w:t>TextClause 的 INSERT/UPDATE/DELETE 前缀为什么也要判？</w:t>
      </w:r>
    </w:p>
    <w:p>
      <w:pPr>
        <w:pStyle w:val="ListBullet"/>
      </w:pPr>
      <w:r>
        <w:rPr>
          <w:rFonts w:ascii="微软雅黑" w:hAnsi="微软雅黑" w:eastAsia="微软雅黑"/>
        </w:rPr>
        <w:t>force_primary 靠什么字段传递？</w:t>
      </w:r>
    </w:p>
    <w:p>
      <w:pPr>
        <w:pStyle w:val="ListNumber"/>
      </w:pPr>
      <w:r>
        <w:rPr>
          <w:rFonts w:ascii="微软雅黑" w:hAnsi="微软雅黑" w:eastAsia="微软雅黑"/>
        </w:rPr>
        <w:t>本地双 sqlite 实验：参照 `tests/test_db_read_write_routing.py` 三条断言，自行改写一份并跑通</w:t>
      </w:r>
    </w:p>
    <w:p>
      <w:pPr>
        <w:pStyle w:val="ListNumber"/>
      </w:pPr>
      <w:r>
        <w:rPr>
          <w:rFonts w:ascii="微软雅黑" w:hAnsi="微软雅黑" w:eastAsia="微软雅黑"/>
        </w:rPr>
        <w:t>集群观察：`kubectl -n travel-prod set env deploy/travel-agent-api TRAVEL_DB_READ_URL=...`（由教师演示），观察环境变量生效后 pod 滚动重启</w:t>
      </w:r>
    </w:p>
    <w:p>
      <w:pPr>
        <w:pStyle w:val="ListNumber"/>
      </w:pPr>
      <w:r>
        <w:rPr>
          <w:rFonts w:ascii="微软雅黑" w:hAnsi="微软雅黑" w:eastAsia="微软雅黑"/>
        </w:rPr>
        <w:t>思考题：如果 ReadURL 配错指向主库，会发生什么？为什么测试仍全绿？</w:t>
      </w:r>
    </w:p>
    <w:p>
      <w:pPr>
        <w:pStyle w:val="Heading2"/>
      </w:pPr>
      <w:r>
        <w:rPr>
          <w:rFonts w:ascii="黑体" w:hAnsi="黑体" w:eastAsia="黑体"/>
          <w:color w:val="065A82"/>
        </w:rPr>
        <w:t>成果物</w:t>
      </w:r>
    </w:p>
    <w:p>
      <w:pPr>
        <w:pStyle w:val="ListBullet"/>
      </w:pPr>
      <w:r>
        <w:rPr>
          <w:rFonts w:ascii="微软雅黑" w:hAnsi="微软雅黑" w:eastAsia="微软雅黑"/>
        </w:rPr>
        <w:t>路由验证报告（三断言 + 思考题答案）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检查单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源码三问回答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本地实验跑通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思考题有依据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