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left"/>
      </w:pPr>
      <w:r>
        <w:rPr>
          <w:rFonts w:ascii="Times New Roman" w:hAnsi="Times New Roman" w:eastAsia="黑体"/>
          <w:b w:val="0"/>
          <w:color w:val="44546A"/>
          <w:sz w:val="18"/>
        </w:rPr>
        <w:t>Python程序设计（项目实战） · 分层实训工单</w:t>
      </w:r>
    </w:p>
    <w:p>
      <w:pPr>
        <w:spacing w:before="0" w:after="20"/>
        <w:jc w:val="center"/>
      </w:pPr>
      <w:r>
        <w:rPr>
          <w:rFonts w:ascii="Times New Roman" w:hAnsi="Times New Roman" w:eastAsia="黑体"/>
          <w:b/>
          <w:color w:val="010328"/>
          <w:sz w:val="32"/>
        </w:rPr>
        <w:t>工单P4.1《多源数据采集系统》</w:t>
      </w:r>
    </w:p>
    <w:p>
      <w:pPr>
        <w:spacing w:before="0" w:after="80"/>
        <w:jc w:val="center"/>
      </w:pPr>
      <w:r>
        <w:rPr>
          <w:rFonts w:ascii="Times New Roman" w:hAnsi="Times New Roman" w:eastAsia="宋体"/>
          <w:b w:val="0"/>
          <w:color w:val="44546A"/>
          <w:sz w:val="19"/>
        </w:rPr>
        <w:t>第6周 · 2课时（80分钟） · 理实一体 · 难度见右栏</w:t>
      </w:r>
    </w:p>
    <w:p>
      <w:pPr>
        <w:spacing w:before="0" w:after="20"/>
        <w:jc w:val="center"/>
        <w:shd w:val="clear" w:fill="010328"/>
      </w:pPr>
      <w:r>
        <w:rPr>
          <w:rFonts w:ascii="Times New Roman" w:hAnsi="Times New Roman" w:eastAsia="黑体"/>
          <w:b/>
          <w:color w:val="FFFFFF"/>
          <w:sz w:val="20"/>
        </w:rPr>
        <w:t>◆ 项目载体：重庆两江智造集团 · 数字化转型办公室</w:t>
      </w:r>
    </w:p>
    <w:p>
      <w:pPr>
        <w:spacing w:before="0" w:after="80"/>
        <w:jc w:val="left"/>
      </w:pPr>
      <w:r>
        <w:rPr>
          <w:rFonts w:ascii="Times New Roman" w:hAnsi="Times New Roman" w:eastAsia="楷体"/>
          <w:b w:val="0"/>
          <w:color w:val="44546A"/>
          <w:sz w:val="18"/>
        </w:rPr>
        <w:t>▍任务情境：中台试运行暴露瓶颈：三个厂区数据源并发接入互相踩踏，还常有连接闪断。吴工画出三线程架构图：'骨架给你，可靠性你来。'——工单P4.1：多源采集系……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工单号: </w:t>
            </w:r>
            <w:r>
              <w:rPr>
                <w:sz w:val="18"/>
              </w:rPr>
              <w:t>P4.1</w:t>
            </w:r>
          </w:p>
        </w:tc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周次/课时: </w:t>
            </w:r>
            <w:r>
              <w:rPr>
                <w:sz w:val="18"/>
              </w:rPr>
              <w:t>第6周/2课时</w:t>
            </w:r>
          </w:p>
        </w:tc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地点: </w:t>
            </w:r>
            <w:r>
              <w:rPr>
                <w:sz w:val="18"/>
              </w:rPr>
              <w:t>双创中心302实训室</w:t>
            </w:r>
          </w:p>
        </w:tc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角色层: </w:t>
            </w:r>
            <w:r>
              <w:rPr>
                <w:sz w:val="18"/>
              </w:rPr>
              <w:t>□A □B □C □D</w:t>
            </w:r>
          </w:p>
        </w:tc>
      </w:tr>
      <w:tr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配套+工具: </w:t>
            </w:r>
            <w:r>
              <w:rPr>
                <w:sz w:val="18"/>
              </w:rPr>
              <w:t>starter+Jupyter｜主用：PyCharm CE + conda环境(pp03) + Git/GitHub（每周提交）</w:t>
            </w:r>
          </w:p>
        </w:tc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提交命名: </w:t>
            </w:r>
            <w:r>
              <w:rPr>
                <w:sz w:val="18"/>
              </w:rPr>
              <w:t>学号_姓名_P4.1</w:t>
            </w:r>
          </w:p>
        </w:tc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评价: </w:t>
            </w:r>
            <w:r>
              <w:rPr>
                <w:sz w:val="18"/>
              </w:rPr>
              <w:t>D/C/B/A四级量表</w:t>
            </w:r>
          </w:p>
        </w:tc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反馈: </w:t>
            </w:r>
            <w:r>
              <w:rPr>
                <w:sz w:val="18"/>
              </w:rPr>
              <w:t>24小时内</w:t>
            </w:r>
          </w:p>
        </w:tc>
      </w:tr>
    </w:tbl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C04A0A"/>
          <w:sz w:val="24"/>
        </w:rPr>
        <w:t>〇、知识精讲·四要素详解（V1.2深度版·与授课PPT同源）</w:t>
      </w:r>
    </w:p>
    <w:p>
      <w:pPr>
        <w:spacing w:before="0" w:after="20"/>
      </w:pPr>
      <w:r>
        <w:rPr>
          <w:rFonts w:ascii="Times New Roman" w:hAnsi="Times New Roman" w:eastAsia="宋体"/>
          <w:b/>
          <w:color w:val="010328"/>
          <w:sz w:val="22"/>
        </w:rPr>
        <w:t>B01 线程并发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1. 定义：线程=车间三条传送带同时转：采集/处理/入库互不挡道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2. 使用场景：采集不能被入库阻塞——三线程并行是主链路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3. 应用实例：t = threading.Thread(target=worker); t.start()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4. 扩展与误区：误区：以为多线程必然更快——GIL下CPU密集不加速，IO密集才香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5. 原理：线程并发=操作系统在单核上快速切换执行多个任务（GIL使Python线程不能真并行CPU计算，但IO等待时可切换）——采集卡在等网络时别的线程照干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6. 判断依据：三个PLC并发采集：单线程轮询一轮3秒，三线程各采各的一轮仍是1秒——IO密集场景线程正合适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7. 逐行解释：t=threading.Thread(target=poll,args=(plc1,)) 开线程；t.start() 并发跑；t.join() 等收队——主线程不阻塞继续干别的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8. 进阶优化：CPU密集用进程池multiprocessing绕开GIL；Python 3.13 freethread实验性去GIL——选型看瓶颈在IO还是CPU</w:t>
      </w:r>
    </w:p>
    <w:p>
      <w:pPr>
        <w:spacing w:before="0" w:after="0"/>
      </w:pPr>
      <w:r>
        <w:rPr>
          <w:rFonts w:ascii="Times New Roman" w:hAnsi="Times New Roman" w:eastAsia="宋体"/>
          <w:b w:val="0"/>
          <w:sz w:val="12"/>
        </w:rPr>
      </w:r>
    </w:p>
    <w:p>
      <w:pPr>
        <w:spacing w:before="0" w:after="20"/>
      </w:pPr>
      <w:r>
        <w:rPr>
          <w:rFonts w:ascii="Times New Roman" w:hAnsi="Times New Roman" w:eastAsia="宋体"/>
          <w:b/>
          <w:color w:val="010328"/>
          <w:sz w:val="22"/>
        </w:rPr>
        <w:t>B02 Queue传送带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1. 定义：queue.Queue=自带保险锁的传送带——线程间传数据不丢不撞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2. 使用场景：采集线程与入库线程解耦——快慢各干各的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3. 应用实例：q.put(row) / row = q.get(timeout=3)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4. 扩展与误区：误区：直接共享全局列表传数据——裸列表非线程安全，必加锁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5. 原理：Queue线程安全传送带：生产者put进货、消费者get取货，自带锁不丢单——线程间传数据不走全局变量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6. 判断依据：采集线程往队列塞原始数据、清洗线程从队列取——两环节速度解耦，互不等待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7. 逐行解释：q=queue.Queue(maxsize=100) 带背压的传送带（满则put阻塞防内存爆）；q.put(row) 塞；q.get() 取——中间缓冲解耦两侧速率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8. 进阶优化：qsize()监控积压（消费不动了先看这）；task_done()+join()任务级同步；进阶PriorityQueue告警优先处理</w:t>
      </w:r>
    </w:p>
    <w:p>
      <w:pPr>
        <w:spacing w:before="0" w:after="0"/>
      </w:pPr>
      <w:r>
        <w:rPr>
          <w:rFonts w:ascii="Times New Roman" w:hAnsi="Times New Roman" w:eastAsia="宋体"/>
          <w:b w:val="0"/>
          <w:sz w:val="12"/>
        </w:rPr>
      </w:r>
    </w:p>
    <w:p>
      <w:pPr>
        <w:spacing w:before="0" w:after="20"/>
      </w:pPr>
      <w:r>
        <w:rPr>
          <w:rFonts w:ascii="Times New Roman" w:hAnsi="Times New Roman" w:eastAsia="宋体"/>
          <w:b/>
          <w:color w:val="010328"/>
          <w:sz w:val="22"/>
        </w:rPr>
        <w:t>B03 get超时防死等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1. 定义：get(timeout)=传送带空转3秒就检查——不给死等机会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2. 使用场景：采集断流时入库线程能检查退出标志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3. 应用实例：try: row=q.get(timeout=3) except Empty: continue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4. 扩展与误区：误区：裸get()死等——采集一断入库线程永久卡死成僵尸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5. 原理：q.get(timeout=5)最多等5秒，超时抛Empty异常——防止设备'死寂'时消费线程永远挂起（死等的反义词是有时限的等）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6. 判断依据：任何阻塞调用都要带超时：网络读/队列取/条件等——无限等待=僵尸线程的温床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7. 逐行解释：try: row=q.get(timeout=5) 限时等；except queue.Empty: 记录心跳超时并continue —— 线程永远活着且有响应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8. 进阶优化：socket.setdefaulttimeout全局兜底；采集循环外层再包看门狗（N分钟无数据自动重启线程）</w:t>
      </w:r>
    </w:p>
    <w:p>
      <w:pPr>
        <w:spacing w:before="0" w:after="0"/>
      </w:pPr>
      <w:r>
        <w:rPr>
          <w:rFonts w:ascii="Times New Roman" w:hAnsi="Times New Roman" w:eastAsia="宋体"/>
          <w:b w:val="0"/>
          <w:sz w:val="12"/>
        </w:rPr>
      </w:r>
    </w:p>
    <w:p>
      <w:pPr>
        <w:spacing w:before="0" w:after="20"/>
      </w:pPr>
      <w:r>
        <w:rPr>
          <w:rFonts w:ascii="Times New Roman" w:hAnsi="Times New Roman" w:eastAsia="宋体"/>
          <w:b/>
          <w:color w:val="010328"/>
          <w:sz w:val="22"/>
        </w:rPr>
        <w:t>B04 退避重试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1. 定义：指数退避=敲门礼仪：1s没应等2s再4s——封顶8s不轰炸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2. 使用场景：P4.1核心考点：2号PLC随机掉线必须重连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3. 应用实例：delay=min(delay*2, 8)——间隔翻倍不爆炸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4. 扩展与误区：误区：无退避疯狂重试=DDOS自己——掉线风暴越试越瘫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5. 原理：退避重试=失败后指数等待再试：1s→2s→4s，配上限（3次）——2号PLC这种'戏精'设备专治方案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6. 判断依据：网络抖动类瞬时故障用重试自愈；硬件真坏重试也无用（区分可自愈/不可自愈错误是工程判断）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7. 逐行解释：for i in range(3): try: connect(); break; except: time.sleep(2**i) 1,2,4秒退避——加上抖动random.uniform(0,0.3)防雪崩同步重试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8. 进阶优化：retrying库装饰器一行搞定；重试期间线程让出CPU（sleep不占核）；最终失败进死信队列人工介入</w:t>
      </w:r>
    </w:p>
    <w:p>
      <w:pPr>
        <w:spacing w:before="0" w:after="0"/>
      </w:pPr>
      <w:r>
        <w:rPr>
          <w:rFonts w:ascii="Times New Roman" w:hAnsi="Times New Roman" w:eastAsia="宋体"/>
          <w:b w:val="0"/>
          <w:sz w:val="12"/>
        </w:rPr>
      </w:r>
    </w:p>
    <w:p>
      <w:pPr>
        <w:spacing w:before="0" w:after="20"/>
      </w:pPr>
      <w:r>
        <w:rPr>
          <w:rFonts w:ascii="Times New Roman" w:hAnsi="Times New Roman" w:eastAsia="宋体"/>
          <w:b/>
          <w:color w:val="010328"/>
          <w:sz w:val="22"/>
        </w:rPr>
        <w:t>B05 daemon守护线程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1. 定义：daemon=True=随主灯灭的值夜班——主程序退出它跟着退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2. 使用场景：Ctrl+C后采集进程能干净退出不留后台僵尸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3. 应用实例：t = threading.Thread(target=worker, daemon=True)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4. 扩展与误区：误区：守护线程里放'必须写完'的落库逻辑——可能中途被掐断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5. 原理：daemon=True守护线程：主线程退出时守护线程随之被杀——采集程序主流程结束，后台线程不阻挠进程退出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6. 判断依据：心跳上报/日志刷盘这类'陪跑'线程设daemon；但需要优雅收尾的线程（要flush数据的）不能daemon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7. 逐行解释：t=threading.Thread(target=beat,daemon=True) 开工即声明守护——主线程收工全部一起散场，进程不挂起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8. 进阶优化：非守护线程用Event优雅停：stop_event.set()通知循环退出——'善终'与'陪葬'按线程职责选</w:t>
      </w:r>
    </w:p>
    <w:p>
      <w:pPr>
        <w:spacing w:before="0" w:after="0"/>
      </w:pPr>
      <w:r>
        <w:rPr>
          <w:rFonts w:ascii="Times New Roman" w:hAnsi="Times New Roman" w:eastAsia="宋体"/>
          <w:b w:val="0"/>
          <w:sz w:val="12"/>
        </w:rPr>
      </w:r>
    </w:p>
    <w:p>
      <w:pPr>
        <w:spacing w:before="0" w:after="20"/>
      </w:pPr>
      <w:r>
        <w:rPr>
          <w:rFonts w:ascii="Times New Roman" w:hAnsi="Times New Roman" w:eastAsia="宋体"/>
          <w:b/>
          <w:color w:val="010328"/>
          <w:sz w:val="22"/>
        </w:rPr>
        <w:t>B06 对账公式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1. 定义：对账=钱货两清：源计数=入库+异常+丢弃，一条不差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2. 使用场景：采集完整性的数学表达——工单验收硬指标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3. 应用实例：assert total_src == total_db + total_err + total_drop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4. 扩展与误区：误区：只报采集条数不对账——丢的行去哪了说不清等于失控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5. 原理：对账公式：收到条数==发送条数-重试中-死信数——收发存三方数字咬合，任何一环丢数立刻对不上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6. 判断依据：每班次结束自动对账：采集端计数器vs中台入库数——差一条就报警，不靠用户发现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7. 逐行解释：sent=counter['send']; received=db.count(); retrying=len(backup_queue); assert sent==received+retrying —— 差额即丢失，写告警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8. 进阶优化：对账报表进日报（发送/接收/重试/死信四数）；消息ID幂等去重（重试可能双发）——对账与幂等双保险</w:t>
      </w:r>
    </w:p>
    <w:p>
      <w:pPr>
        <w:spacing w:before="0" w:after="0"/>
      </w:pPr>
      <w:r>
        <w:rPr>
          <w:rFonts w:ascii="Times New Roman" w:hAnsi="Times New Roman" w:eastAsia="宋体"/>
          <w:b w:val="0"/>
          <w:sz w:val="12"/>
        </w:rPr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10328"/>
          <w:sz w:val="24"/>
        </w:rPr>
        <w:t>一、本课基础知识（课前资讯对应）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1. 线程并发；Queue线程安全传送带——应用：见工单starter与教师参考实现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2. put/get超时防死等——应用：见工单starter与教师参考实现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3. 退避重试1→2→4s封顶——应用：见工单starter与教师参考实现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4. daemon=True随主退出——应用：见工单starter与教师参考实现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5. 批量写库：50条或5秒flush——应用：见工单starter与教师参考实现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6. 对账：源计数=入库+异常+丢弃——应用：见工单starter与教师参考实现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10328"/>
          <w:sz w:val="24"/>
        </w:rPr>
        <w:t>二、本课技能点（做完你应该会）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1. 三线程骨架贯通(采集/订阅/处理)——应用：见工单starter与教师参考实现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2. 断线重连实测(2号PLC掉线)——应用：见工单starter与教师参考实现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3. 采集率统计与提升——应用：见工单starter与教师参考实现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4. 架构图绘制入工单——应用：见工单starter与教师参考实现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C04A0A"/>
          <w:sz w:val="24"/>
        </w:rPr>
        <w:t>三、分层任务卡（按你的ABCD层执行；每4周动态升降）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44546A"/>
          <w:sz w:val="24"/>
        </w:rPr>
        <w:t>【D层·学徒(跟做保底)】目标：架构观察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步骤1: 跑演示notebook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步骤2: 记录采集率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步骤3: 手画三线程图</w:t>
      </w:r>
    </w:p>
    <w:p>
      <w:pPr>
        <w:spacing w:before="0" w:after="120"/>
      </w:pPr>
      <w:r>
        <w:rPr>
          <w:rFonts w:ascii="Times New Roman" w:hAnsi="Times New Roman" w:eastAsia="宋体"/>
          <w:b/>
          <w:color w:val="44546A"/>
          <w:sz w:val="20"/>
        </w:rPr>
        <w:t xml:space="preserve">    ✔ 达标标准: 能画线程图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475B6"/>
          <w:sz w:val="24"/>
        </w:rPr>
        <w:t>【C层·操作员(基础完成)】目标：单源贯通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步骤1: Modbus采集跑通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步骤2: Queue到Processor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步骤3: SQLite见记录</w:t>
      </w:r>
    </w:p>
    <w:p>
      <w:pPr>
        <w:spacing w:before="0" w:after="120"/>
      </w:pPr>
      <w:r>
        <w:rPr>
          <w:rFonts w:ascii="Times New Roman" w:hAnsi="Times New Roman" w:eastAsia="宋体"/>
          <w:b/>
          <w:color w:val="0475B6"/>
          <w:sz w:val="20"/>
        </w:rPr>
        <w:t xml:space="preserve">    ✔ 达标标准: 数据能入库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545E8"/>
          <w:sz w:val="24"/>
        </w:rPr>
        <w:t>【B层·组长(标准达成)】目标：完整多源系统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步骤1: 补全read_one+on_message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步骤2: 断线重连调通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步骤3: 10分钟统计截图</w:t>
      </w:r>
    </w:p>
    <w:p>
      <w:pPr>
        <w:spacing w:before="0" w:after="120"/>
      </w:pPr>
      <w:r>
        <w:rPr>
          <w:rFonts w:ascii="Times New Roman" w:hAnsi="Times New Roman" w:eastAsia="宋体"/>
          <w:b/>
          <w:color w:val="0545E8"/>
          <w:sz w:val="20"/>
        </w:rPr>
        <w:t xml:space="preserve">    ✔ 达标标准: ≥95%+文档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C04A0A"/>
          <w:sz w:val="24"/>
        </w:rPr>
        <w:t>【A层·师傅(进阶拓展)】目标：高可用演示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步骤1: 主备采集切换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步骤2: 实时统计小面板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步骤3: 8小时稳定跑</w:t>
      </w:r>
    </w:p>
    <w:p>
      <w:pPr>
        <w:spacing w:before="0" w:after="120"/>
      </w:pPr>
      <w:r>
        <w:rPr>
          <w:rFonts w:ascii="Times New Roman" w:hAnsi="Times New Roman" w:eastAsia="宋体"/>
          <w:b/>
          <w:color w:val="C04A0A"/>
          <w:sz w:val="20"/>
        </w:rPr>
        <w:t xml:space="preserve">    ✔ 达标标准: ≥99.5%+监控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10328"/>
          <w:sz w:val="24"/>
        </w:rPr>
        <w:t>四、关键代码参考</w:t>
      </w:r>
    </w:p>
    <w:p>
      <w:pPr>
        <w:spacing w:before="0" w:after="20"/>
      </w:pPr>
      <w:r>
        <w:rPr>
          <w:rFonts w:ascii="Times New Roman" w:hAnsi="Times New Roman" w:eastAsia="宋体"/>
          <w:b/>
          <w:color w:val="0545E8"/>
          <w:sz w:val="19"/>
        </w:rPr>
        <w:t>▍退避重连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>backoff = 1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>while not stop.is_set():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 xml:space="preserve">    got = False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 xml:space="preserve">    for host, port in PLCS: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 xml:space="preserve">        if read_one(host, port): got = True; stat["ok"] += 1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 xml:space="preserve">        else: stat["fail"] += 1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 xml:space="preserve">    backoff = 1 if got else min(backoff*2, 4)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 xml:space="preserve">    time.sleep(0.5 if got else backoff)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10328"/>
          <w:sz w:val="24"/>
        </w:rPr>
        <w:t>五、常见错误速查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3362"/>
          </w:tcPr>
          <w:p>
            <w:r>
              <w:rPr>
                <w:b/>
                <w:sz w:val="18"/>
              </w:rPr>
              <w:t>现象</w:t>
            </w:r>
          </w:p>
        </w:tc>
        <w:tc>
          <w:tcPr>
            <w:tcW w:type="dxa" w:w="3362"/>
          </w:tcPr>
          <w:p>
            <w:r>
              <w:rPr>
                <w:b/>
                <w:sz w:val="18"/>
              </w:rPr>
              <w:t>原因</w:t>
            </w:r>
          </w:p>
        </w:tc>
        <w:tc>
          <w:tcPr>
            <w:tcW w:type="dxa" w:w="3362"/>
          </w:tcPr>
          <w:p>
            <w:r>
              <w:rPr>
                <w:b/>
                <w:sz w:val="18"/>
              </w:rPr>
              <w:t>解决</w:t>
            </w:r>
          </w:p>
        </w:tc>
      </w:tr>
      <w:tr>
        <w:tc>
          <w:tcPr>
            <w:tcW w:type="dxa" w:w="3362"/>
          </w:tcPr>
          <w:p>
            <w:r>
              <w:rPr>
                <w:sz w:val="18"/>
              </w:rPr>
              <w:t>Ctrl+C退不出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没设daemon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daemon=True</w:t>
            </w:r>
          </w:p>
        </w:tc>
      </w:tr>
      <w:tr>
        <w:tc>
          <w:tcPr>
            <w:tcW w:type="dxa" w:w="3362"/>
          </w:tcPr>
          <w:p>
            <w:r>
              <w:rPr>
                <w:sz w:val="18"/>
              </w:rPr>
              <w:t>Queue满卡死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put无超时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put(timeout=1)+丢弃计数</w:t>
            </w:r>
          </w:p>
        </w:tc>
      </w:tr>
      <w:tr>
        <w:tc>
          <w:tcPr>
            <w:tcW w:type="dxa" w:w="3362"/>
          </w:tcPr>
          <w:p>
            <w:r>
              <w:rPr>
                <w:sz w:val="18"/>
              </w:rPr>
              <w:t>线程日志混乱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无名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Thread(name='Modbus')</w:t>
            </w:r>
          </w:p>
        </w:tc>
      </w:tr>
    </w:tbl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10328"/>
          <w:sz w:val="24"/>
        </w:rPr>
        <w:t>六、提交物与评分</w:t>
      </w:r>
    </w:p>
    <w:p>
      <w:pPr>
        <w:spacing w:before="0" w:after="80"/>
      </w:pPr>
      <w:r>
        <w:rPr>
          <w:rFonts w:ascii="Times New Roman" w:hAnsi="Times New Roman" w:eastAsia="宋体"/>
          <w:b w:val="0"/>
          <w:sz w:val="20"/>
        </w:rPr>
        <w:t>提交物: 程序/笔记本(含运行输出) + 本工单(勾选层与达标自评) + 过程记录</w:t>
      </w:r>
    </w:p>
    <w:p>
      <w:pPr>
        <w:spacing w:before="0" w:after="80"/>
      </w:pPr>
      <w:r>
        <w:rPr>
          <w:rFonts w:ascii="Times New Roman" w:hAnsi="Times New Roman" w:eastAsia="宋体"/>
          <w:b w:val="0"/>
          <w:sz w:val="20"/>
        </w:rPr>
        <w:t>评分: 功能40% + 技术质量25% + 代码规范20% + 工程素养15%（D≥60 / C≥70 / B≥80 / A≥90，详见《工单评价通用量表》）</w:t>
      </w:r>
    </w:p>
    <w:p>
      <w:pPr>
        <w:spacing w:before="0" w:after="80"/>
      </w:pPr>
      <w:r>
        <w:rPr>
          <w:rFonts w:ascii="Times New Roman" w:hAnsi="Times New Roman" w:eastAsia="宋体"/>
          <w:b w:val="0"/>
          <w:color w:val="44546A"/>
          <w:sz w:val="20"/>
        </w:rPr>
        <w:t>自评: 我完成了____层任务，最得意的一步是____________，卡壳最久的是____________。</w:t>
      </w:r>
    </w:p>
    <w:p>
      <w:pPr>
        <w:spacing w:before="120" w:after="80"/>
      </w:pPr>
      <w:r>
        <w:rPr>
          <w:rFonts w:ascii="Times New Roman" w:hAnsi="Times New Roman" w:eastAsia="宋体"/>
          <w:b w:val="0"/>
          <w:sz w:val="20"/>
        </w:rPr>
        <w:t>学号______ 姓名______ 组号____ 组长签字________</w:t>
      </w:r>
    </w:p>
    <w:p>
      <w:r>
        <w:rPr>
          <w:rFonts w:ascii="宋体" w:hAnsi="宋体" w:eastAsia="宋体"/>
          <w:b/>
          <w:sz w:val="24"/>
        </w:rPr>
        <w:t>七、安全规范重申（操作前逐条打勾，缺任一项即触发一票否决）</w:t>
      </w:r>
    </w:p>
    <w:p>
      <w:r>
        <w:rPr>
          <w:rFonts w:ascii="宋体" w:hAnsi="宋体" w:eastAsia="宋体"/>
          <w:b w:val="0"/>
          <w:sz w:val="20"/>
        </w:rPr>
        <w:t>项目载体： ｜ 本次工单：多源数据采集系统 ｜ 周次：P4.1 ｜ 地点：</w:t>
      </w:r>
    </w:p>
    <w:p>
      <w:r>
        <w:rPr>
          <w:rFonts w:ascii="宋体" w:hAnsi="宋体" w:eastAsia="宋体"/>
          <w:b w:val="0"/>
          <w:sz w:val="20"/>
        </w:rPr>
        <w:t>1. 上机前确认本工位电源开关与急停位置，确认设备处于安全状态。（    ）</w:t>
      </w:r>
    </w:p>
    <w:p>
      <w:r>
        <w:rPr>
          <w:rFonts w:ascii="宋体" w:hAnsi="宋体" w:eastAsia="宋体"/>
          <w:b w:val="0"/>
          <w:sz w:val="20"/>
        </w:rPr>
        <w:t>2. 涉及接线的操作一律先断电、后验电、再作业，禁止带电插拔。（    ）</w:t>
      </w:r>
    </w:p>
    <w:p>
      <w:r>
        <w:rPr>
          <w:rFonts w:ascii="宋体" w:hAnsi="宋体" w:eastAsia="宋体"/>
          <w:b w:val="0"/>
          <w:sz w:val="20"/>
        </w:rPr>
        <w:t>3. 身体任何部位不进入设备运动/散热区域，长发束起，不佩戴悬垂饰物。（    ）</w:t>
      </w:r>
    </w:p>
    <w:p>
      <w:r>
        <w:rPr>
          <w:rFonts w:ascii="宋体" w:hAnsi="宋体" w:eastAsia="宋体"/>
          <w:b w:val="0"/>
          <w:sz w:val="20"/>
        </w:rPr>
        <w:t>4. 调试程序前先静态检查、再低速小样本试运行，确认无异常后放大规模。（    ）</w:t>
      </w:r>
    </w:p>
    <w:p>
      <w:r>
        <w:rPr>
          <w:rFonts w:ascii="宋体" w:hAnsi="宋体" w:eastAsia="宋体"/>
          <w:b w:val="0"/>
          <w:sz w:val="20"/>
        </w:rPr>
        <w:t>5. 任何不确定或异常情况，立即停止操作并报告指导教师，不擅自处置。（    ）</w:t>
      </w:r>
    </w:p>
    <w:p>
      <w:r>
        <w:rPr>
          <w:rFonts w:ascii="宋体" w:hAnsi="宋体" w:eastAsia="宋体"/>
          <w:b w:val="0"/>
          <w:sz w:val="20"/>
        </w:rPr>
        <w:t>学生确认签字（本人手写）：________________    日期：________________</w:t>
      </w:r>
    </w:p>
    <w:p>
      <w:r>
        <w:rPr>
          <w:rFonts w:ascii="宋体" w:hAnsi="宋体" w:eastAsia="宋体"/>
          <w:b w:val="0"/>
          <w:sz w:val="20"/>
        </w:rPr>
        <w:t>安全规范五项未全部打勾或未本人签字者，按课程标准「安全规范一票否决红线条款」红线一处理：不得通电上机，当次过程性得分计0。</w:t>
      </w:r>
    </w:p>
    <w:p>
      <w:r>
        <w:rPr>
          <w:rFonts w:ascii="宋体" w:hAnsi="宋体" w:eastAsia="宋体"/>
          <w:b/>
          <w:sz w:val="24"/>
        </w:rPr>
        <w:t>八、工具与物料清单（领用与归还双确认）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1"/>
        <w:gridCol w:w="1441"/>
        <w:gridCol w:w="1441"/>
        <w:gridCol w:w="1441"/>
        <w:gridCol w:w="1441"/>
        <w:gridCol w:w="1441"/>
        <w:gridCol w:w="1441"/>
      </w:tblGrid>
      <w:tr>
        <w:tc>
          <w:tcPr>
            <w:tcW w:type="dxa" w:w="144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序号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物品名称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规格型号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单位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数量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领用确认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归还确认</w:t>
            </w:r>
          </w:p>
        </w:tc>
      </w:tr>
      <w:tr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实训计算机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含开发环境与运行库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台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课程工程仓库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本地工作副本（只读提交权限）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套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任务工单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本工单打印版或电子签版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份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4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参考手册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语言/库官方文档与课程速查卡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份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5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防护用品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按本实训室安全规程配置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套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记录工具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计时器、截图与运行日志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套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</w:tbl>
    <w:p>
      <w:r>
        <w:rPr>
          <w:rFonts w:ascii="宋体" w:hAnsi="宋体" w:eastAsia="宋体"/>
          <w:b w:val="0"/>
          <w:sz w:val="20"/>
        </w:rPr>
        <w:t>领用人签字：____________  发放人签字：____________  领用时间：____________</w:t>
      </w:r>
    </w:p>
    <w:p>
      <w:r>
        <w:rPr>
          <w:rFonts w:ascii="宋体" w:hAnsi="宋体" w:eastAsia="宋体"/>
          <w:b w:val="0"/>
          <w:sz w:val="20"/>
        </w:rPr>
        <w:t>归还人签字：____________  验收人签字：____________  归还时间：____________</w:t>
      </w:r>
    </w:p>
    <w:p>
      <w:r>
        <w:rPr>
          <w:rFonts w:ascii="宋体" w:hAnsi="宋体" w:eastAsia="宋体"/>
          <w:b/>
          <w:sz w:val="24"/>
        </w:rPr>
        <w:t>九、课前任务完成情况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17"/>
        <w:gridCol w:w="2017"/>
        <w:gridCol w:w="2017"/>
        <w:gridCol w:w="2017"/>
        <w:gridCol w:w="2017"/>
      </w:tblGrid>
      <w:tr>
        <w:tc>
          <w:tcPr>
            <w:tcW w:type="dxa" w:w="201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项目</w:t>
            </w:r>
          </w:p>
        </w:tc>
        <w:tc>
          <w:tcPr>
            <w:tcW w:type="dxa" w:w="4034"/>
            <w:gridSpan w:val="2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完成证据（截图/链接/编号）</w:t>
            </w:r>
          </w:p>
        </w:tc>
        <w:tc>
          <w:tcPr>
            <w:tcW w:type="dxa" w:w="201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成绩或结论</w:t>
            </w:r>
          </w:p>
        </w:tc>
        <w:tc>
          <w:tcPr>
            <w:tcW w:type="dxa" w:w="201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核查人签字</w:t>
            </w:r>
          </w:p>
        </w:tc>
      </w:tr>
      <w:tr>
        <w:tc>
          <w:tcPr>
            <w:tcW w:type="dxa" w:w="20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课前预习微课</w:t>
            </w:r>
          </w:p>
        </w:tc>
        <w:tc>
          <w:tcPr>
            <w:tcW w:type="dxa" w:w="4034"/>
            <w:gridSpan w:val="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20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20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20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线上预习测验</w:t>
            </w:r>
          </w:p>
        </w:tc>
        <w:tc>
          <w:tcPr>
            <w:tcW w:type="dxa" w:w="4034"/>
            <w:gridSpan w:val="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20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20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20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安全规范预习与自查</w:t>
            </w:r>
          </w:p>
        </w:tc>
        <w:tc>
          <w:tcPr>
            <w:tcW w:type="dxa" w:w="4034"/>
            <w:gridSpan w:val="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20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20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</w:tbl>
    <w:p>
      <w:r>
        <w:rPr>
          <w:rFonts w:ascii="宋体" w:hAnsi="宋体" w:eastAsia="宋体"/>
          <w:b/>
          <w:sz w:val="24"/>
        </w:rPr>
        <w:t>十、任务实施记录（六步法当堂逐环节：资讯→计划→决策→实施→检查→评估，逐环节计时）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1"/>
        <w:gridCol w:w="1441"/>
        <w:gridCol w:w="1441"/>
        <w:gridCol w:w="1441"/>
        <w:gridCol w:w="1441"/>
        <w:gridCol w:w="1441"/>
        <w:gridCol w:w="1441"/>
      </w:tblGrid>
      <w:tr>
        <w:tc>
          <w:tcPr>
            <w:tcW w:type="dxa" w:w="144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环节</w:t>
            </w:r>
          </w:p>
        </w:tc>
        <w:tc>
          <w:tcPr>
            <w:tcW w:type="dxa" w:w="2882"/>
            <w:gridSpan w:val="2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本环节产出（可核验物）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计划用时(min)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实际用时(min)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自评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同桌互查签字</w:t>
            </w:r>
          </w:p>
        </w:tc>
      </w:tr>
      <w:tr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资讯</w:t>
            </w:r>
          </w:p>
        </w:tc>
        <w:tc>
          <w:tcPr>
            <w:tcW w:type="dxa" w:w="2882"/>
            <w:gridSpan w:val="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计划</w:t>
            </w:r>
          </w:p>
        </w:tc>
        <w:tc>
          <w:tcPr>
            <w:tcW w:type="dxa" w:w="2882"/>
            <w:gridSpan w:val="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决策</w:t>
            </w:r>
          </w:p>
        </w:tc>
        <w:tc>
          <w:tcPr>
            <w:tcW w:type="dxa" w:w="2882"/>
            <w:gridSpan w:val="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实施</w:t>
            </w:r>
          </w:p>
        </w:tc>
        <w:tc>
          <w:tcPr>
            <w:tcW w:type="dxa" w:w="2882"/>
            <w:gridSpan w:val="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检查</w:t>
            </w:r>
          </w:p>
        </w:tc>
        <w:tc>
          <w:tcPr>
            <w:tcW w:type="dxa" w:w="2882"/>
            <w:gridSpan w:val="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评估</w:t>
            </w:r>
          </w:p>
        </w:tc>
        <w:tc>
          <w:tcPr>
            <w:tcW w:type="dxa" w:w="2882"/>
            <w:gridSpan w:val="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合计</w:t>
            </w:r>
          </w:p>
        </w:tc>
        <w:tc>
          <w:tcPr>
            <w:tcW w:type="dxa" w:w="2882"/>
            <w:gridSpan w:val="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与课中可用分钟数比对应闭合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</w:tbl>
    <w:p>
      <w:r>
        <w:rPr>
          <w:rFonts w:ascii="宋体" w:hAnsi="宋体" w:eastAsia="宋体"/>
          <w:b w:val="0"/>
          <w:sz w:val="20"/>
        </w:rPr>
        <w:t>达标线：。六步中任一环节无产出记录视为该环节未完成；「实施」环节无运行结果或截图视为工单无效，须课后48小时内补做。</w:t>
      </w:r>
    </w:p>
    <w:p>
      <w:r>
        <w:rPr>
          <w:rFonts w:ascii="宋体" w:hAnsi="宋体" w:eastAsia="宋体"/>
          <w:b/>
          <w:sz w:val="24"/>
        </w:rPr>
        <w:t>十一、任务总结与反思</w:t>
      </w:r>
    </w:p>
    <w:p>
      <w:r>
        <w:rPr>
          <w:rFonts w:ascii="宋体" w:hAnsi="宋体" w:eastAsia="宋体"/>
          <w:b w:val="0"/>
          <w:sz w:val="20"/>
        </w:rPr>
        <w:t>1. 本次任务学习收获：</w:t>
      </w:r>
    </w:p>
    <w:p>
      <w:r>
        <w:rPr>
          <w:rFonts w:ascii="宋体" w:hAnsi="宋体" w:eastAsia="宋体"/>
          <w:b w:val="0"/>
          <w:sz w:val="20"/>
        </w:rPr>
        <w:t>2. 遇到的问题及解决方法（须含一次真实失败的报错原文与定位过程）：</w:t>
      </w:r>
    </w:p>
    <w:p>
      <w:r>
        <w:rPr>
          <w:rFonts w:ascii="宋体" w:hAnsi="宋体" w:eastAsia="宋体"/>
          <w:b w:val="0"/>
          <w:sz w:val="20"/>
        </w:rPr>
        <w:t>3. 下一步改进建议与拟提升的层次（A/B/C/D 动态升降）：</w:t>
      </w:r>
    </w:p>
    <w:p>
      <w:r>
        <w:rPr>
          <w:rFonts w:ascii="宋体" w:hAnsi="宋体" w:eastAsia="宋体"/>
          <w:b/>
          <w:sz w:val="24"/>
        </w:rPr>
        <w:t>十二、交付确认（三方联签 + 四级评价）</w:t>
      </w:r>
    </w:p>
    <w:p>
      <w:r>
        <w:rPr>
          <w:rFonts w:ascii="宋体" w:hAnsi="宋体" w:eastAsia="宋体"/>
          <w:b w:val="0"/>
          <w:sz w:val="20"/>
        </w:rPr>
        <w:t>评价等级判定依据（D-C-B-A 四级实测判定，命中上一级全部要件方可升级）：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17"/>
        <w:gridCol w:w="2017"/>
        <w:gridCol w:w="2017"/>
        <w:gridCol w:w="2017"/>
        <w:gridCol w:w="2017"/>
      </w:tblGrid>
      <w:tr>
        <w:tc>
          <w:tcPr>
            <w:tcW w:type="dxa" w:w="201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等级</w:t>
            </w:r>
          </w:p>
        </w:tc>
        <w:tc>
          <w:tcPr>
            <w:tcW w:type="dxa" w:w="6051"/>
            <w:gridSpan w:val="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要件</w:t>
            </w:r>
          </w:p>
        </w:tc>
        <w:tc>
          <w:tcPr>
            <w:tcW w:type="dxa" w:w="201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当堂处置</w:t>
            </w:r>
          </w:p>
        </w:tc>
      </w:tr>
      <w:tr>
        <w:tc>
          <w:tcPr>
            <w:tcW w:type="dxa" w:w="20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D 合格</w:t>
            </w:r>
          </w:p>
        </w:tc>
        <w:tc>
          <w:tcPr>
            <w:tcW w:type="dxa" w:w="6051"/>
            <w:gridSpan w:val="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工单基础任务全部提交且有运行结果；安全五项全部打勾并本人签字</w:t>
            </w:r>
          </w:p>
        </w:tc>
        <w:tc>
          <w:tcPr>
            <w:tcW w:type="dxa" w:w="20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计入过程性得分</w:t>
            </w:r>
          </w:p>
        </w:tc>
      </w:tr>
      <w:tr>
        <w:tc>
          <w:tcPr>
            <w:tcW w:type="dxa" w:w="20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C 良好</w:t>
            </w:r>
          </w:p>
        </w:tc>
        <w:tc>
          <w:tcPr>
            <w:tcW w:type="dxa" w:w="6051"/>
            <w:gridSpan w:val="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在D基础上：六步逐环节有产出；关键错误能自行定位并修复</w:t>
            </w:r>
          </w:p>
        </w:tc>
        <w:tc>
          <w:tcPr>
            <w:tcW w:type="dxa" w:w="20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加分</w:t>
            </w:r>
          </w:p>
        </w:tc>
      </w:tr>
      <w:tr>
        <w:tc>
          <w:tcPr>
            <w:tcW w:type="dxa" w:w="20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B 优秀</w:t>
            </w:r>
          </w:p>
        </w:tc>
        <w:tc>
          <w:tcPr>
            <w:tcW w:type="dxa" w:w="6051"/>
            <w:gridSpan w:val="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在C基础上：完成提高任务；代码规范率达标并有重构说明</w:t>
            </w:r>
          </w:p>
        </w:tc>
        <w:tc>
          <w:tcPr>
            <w:tcW w:type="dxa" w:w="20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加分并展示</w:t>
            </w:r>
          </w:p>
        </w:tc>
      </w:tr>
      <w:tr>
        <w:tc>
          <w:tcPr>
            <w:tcW w:type="dxa" w:w="20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A 标杆</w:t>
            </w:r>
          </w:p>
        </w:tc>
        <w:tc>
          <w:tcPr>
            <w:tcW w:type="dxa" w:w="6051"/>
            <w:gridSpan w:val="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在B基础上：完成拓展任务并能向他人讲清方案取舍</w:t>
            </w:r>
          </w:p>
        </w:tc>
        <w:tc>
          <w:tcPr>
            <w:tcW w:type="dxa" w:w="20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纳入课程案例库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c>
          <w:tcPr>
            <w:tcW w:type="dxa" w:w="252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班组长签字</w:t>
            </w:r>
          </w:p>
        </w:tc>
        <w:tc>
          <w:tcPr>
            <w:tcW w:type="dxa" w:w="252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操作员签字</w:t>
            </w:r>
          </w:p>
        </w:tc>
        <w:tc>
          <w:tcPr>
            <w:tcW w:type="dxa" w:w="252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教师签字</w:t>
            </w:r>
          </w:p>
        </w:tc>
        <w:tc>
          <w:tcPr>
            <w:tcW w:type="dxa" w:w="252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最终评价等级</w:t>
            </w:r>
          </w:p>
        </w:tc>
      </w:tr>
      <w:tr>
        <w:tc>
          <w:tcPr>
            <w:tcW w:type="dxa" w:w="252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252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252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252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□A  □B  □C  □D  □不合格</w:t>
            </w:r>
          </w:p>
        </w:tc>
      </w:tr>
    </w:tbl>
    <w:p>
      <w:r>
        <w:rPr>
          <w:rFonts w:ascii="宋体" w:hAnsi="宋体" w:eastAsia="宋体"/>
          <w:b w:val="0"/>
          <w:sz w:val="20"/>
        </w:rPr>
        <w:t>无三方签字的工单不进入成绩录入；触发安全红线者本工单计0且综合成绩判为不及格。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077" w:bottom="1020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