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工作情境：3.3 Python项目实战（第1-8周，每周4课时；前置：C语言编程基础）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数字化转型办公室｜实习第一天，吴工丢来一份《新员工Python能力测评》：'你C语言底子不错，今天把这五道题过了，明天进项目组。'——工单P1.1：五题闯关，完成从C到Python的迁移。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3.9+、PyCharm CE、Git；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对C基础薄弱学生发放补强包（指针/结构体要点+对照练习）；调整下周分组确保强弱搭配。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▍预习知识点：Python基础回顾(C→Python迁移)；conda环境</w:t>
      </w:r>
    </w:p>
    <w:p>
      <w:r>
        <w:rPr>
          <w:sz w:val="19"/>
        </w:rPr>
        <w:t xml:space="preserve">  ▍课中检查知识点：五题闯关全过；能创建conda环境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数字化转型办公室｜进组第一件事不是写代码。方总监下令：全组统一工程底座，'以后所有代码都长在这个模板上。'——工单P1.2：交付标准工程模板（conda环境+Git+目录规范），模板即资产。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3.微观：学生首次接触Git与conda环境，命令行操作生疏；对“为什么要有这么多配置”存在困惑（能跑就行心态）；此任务是后续7个工单的地基，必须人人达标。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（2）conda环境与requirements.txt依赖管理；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（1）conda环境作用的理解（隔离与可复现）；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3.9+、PyCharm CE、Git、GitHub/Gitea账号；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（2）对D类学生开放图形化Git工具（PyCharm CE内置）替代命令行；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精讲演示conda环境创建、目录结构与Git工作流；演示pylint检查与black格式化效果；现场评判操作质量；引导A操作、B操作、C记录、D观摩。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A类学生完成模板搭建+分支操作闯关；B类学生完成标准结构与首次规范提交；C类完成conda环境与基本提交；D类观摩并完成init/add/commit跟做。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对Git尚未达标学生安排课后专项过关（下次课前必须补齐，因后续工单全部依赖）；优秀CI配置纳入模板库。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▍预习知识点：PEP8规范；Git基本操作(init/add/commit)</w:t>
      </w:r>
    </w:p>
    <w:p>
      <w:r>
        <w:rPr>
          <w:sz w:val="19"/>
        </w:rPr>
        <w:t xml:space="preserve">  ▍课中检查知识点：工程模板可运行；能git commit一次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数字化转型办公室｜一号厂区发来一个月的传感器原始数据，中台拒收：缺失、异常、格式混乱。吴工：'数据不干净，后面全是空中楼阁。'——工单P2.1：Pandas七步清洗管道，质量评分冲85+。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3.9+、pandas、numpy（conda环境，基于P1.2模板）；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将各小组质量报告差异作为讨论素材，强化业务判断意识；优秀管道代码进入班级模板库。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▍预习知识点：Pandas Series/DataFrame；数据清洗(缺失/异常)</w:t>
      </w:r>
    </w:p>
    <w:p>
      <w:r>
        <w:rPr>
          <w:sz w:val="19"/>
        </w:rPr>
        <w:t xml:space="preserve">  ▍课中检查知识点：七步管道质量≥85%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数字化转型办公室｜振动数据洗干净了，但中台要的是'能喂给AI的特征'。吴工给出特征字典模板：'30个特征，向量化实现，100毫秒内。'——工单P2.2：NumPy特征工程。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特征字典汇编为班级《特征手册》；为P6机器学习任务储备特征数据与文档。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▍预习知识点：NumPy数组运算；向量化与广播；FFT频域概念</w:t>
      </w:r>
    </w:p>
    <w:p>
      <w:r>
        <w:rPr>
          <w:sz w:val="19"/>
        </w:rPr>
        <w:t xml:space="preserve">  ▍课中检查知识点：30维特征&lt;100ms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数字化转型办公室｜方总监向集团汇报需要'看得见的数据'。下周 executive meeting 要演示——工单P3：产线KPI仪表盘+自动日报，给管理层一双数据的眼睛。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优秀作品纳入课程案例库；将“信息层级”设计要点整理为检查单供综合项目使用。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</w:t>
      </w:r>
    </w:p>
    <w:p>
      <w:r>
        <w:rPr>
          <w:sz w:val="19"/>
        </w:rPr>
        <w:t xml:space="preserve">  ▍预习知识点：matplotlib绘图(subplot/bar)；Streamlit/Plotly概览</w:t>
      </w:r>
    </w:p>
    <w:p>
      <w:r>
        <w:rPr>
          <w:sz w:val="19"/>
        </w:rPr>
        <w:t xml:space="preserve">  ▍课中检查知识点：5+KPI仪表盘可交互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中台试运行暴露瓶颈：三个厂区数据源并发接入互相踩踏，还常有连接闪断。吴工画出三线程架构图：'骨架给你，可靠性你来。'——工单P4.1：多源采集系统（2号PLC会随机掉线，正好实测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压测数据公示形成良性竞争；优秀架构方案纳入课程参考库。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▍预习知识点：多线程(threading/Queue)；网络编程(socket/MQTT)</w:t>
      </w:r>
    </w:p>
    <w:p>
      <w:r>
        <w:rPr>
          <w:sz w:val="19"/>
        </w:rPr>
        <w:t xml:space="preserve">  ▍课中检查知识点：采集率≥95%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数字化转型办公室｜数据落了地却没有家。吴工：'给数据建个仓库吧——设备、测点、记录、告警四张表。'——工单P5：ER设计+ORM开发+索引优化。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将数据仓库接入P3仪表盘形成“采集→入库→展示”闭环演示，强化系统观。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▍预习知识点：SQLAlchemy ORM；ER设计；批量写入与索引</w:t>
      </w:r>
    </w:p>
    <w:p>
      <w:r>
        <w:rPr>
          <w:sz w:val="19"/>
        </w:rPr>
        <w:t xml:space="preserve">  ▍课中检查知识点：四表仓库可查询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数字化转型办公室｜收官。方总监把P2.2的特征和P5的仓库摆上桌：'最后一步，让数据学会预判。'——工单P6：训练故障诊断模型接入仓库，预训练缺陷模型本地部署成推理服务（P7综合项目可选立项）。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2.设备环境：双创中心302实训室（CPU机房可完整实施），Python 3.9+、scikit-learn、onnxruntime、joblib；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3.教学平台：课程在线平台（机器学习工程化微课、GPU端训练过程演示回放视频、部署示例）。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（2）三段式代码骨架（训练/评估/导出）与预训练模型包配合，骨架先行聚焦调参与集成；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为P7综合项目与毕业设计输出学情档案；推荐优秀学生进入企业实习通道与技能竞赛。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项目3+项目6</w:t>
      </w:r>
    </w:p>
    <w:p>
      <w:r>
        <w:rPr>
          <w:sz w:val="19"/>
        </w:rPr>
        <w:t xml:space="preserve">  ▍预习知识点：scikit-learn五步流；模型保存(joblib)；推理服务</w:t>
      </w:r>
    </w:p>
    <w:p>
      <w:r>
        <w:rPr>
          <w:sz w:val="19"/>
        </w:rPr>
        <w:t xml:space="preserve">  ▍课中检查知识点：F1≥0.80；/predict可调通</w:t>
      </w:r>
    </w:p>
    <w:p w14:paraId="5636AEE6">
      <w:pPr>
        <w:rPr>
          <w:rFonts w:hint="eastAsia"/>
        </w:rPr>
      </w:pPr>
    </w:p>
    <w:p>
      <w:r>
        <w:rPr>
          <w:rFonts w:ascii="宋体" w:hAnsi="宋体" w:eastAsia="宋体"/>
          <w:b/>
          <w:sz w:val="24"/>
        </w:rPr>
        <w:t>补充：安全规范一票否决与工单联动</w:t>
      </w:r>
    </w:p>
    <w:p>
      <w:r>
        <w:rPr>
          <w:rFonts w:ascii="宋体" w:hAnsi="宋体" w:eastAsia="宋体"/>
          <w:b w:val="0"/>
          <w:sz w:val="20"/>
        </w:rPr>
        <w:t>本课程所有情境的实操环节统一执行安全一票否决：学生未在学生工单「安全规范重申」处逐条打勾并本人签字的，教师不得批准其上机；违规操作按课程标准「红线条款」处理，当次过程性得分计0。</w:t>
      </w:r>
    </w:p>
    <w:p>
      <w:r>
        <w:rPr>
          <w:rFonts w:ascii="宋体" w:hAnsi="宋体" w:eastAsia="宋体"/>
          <w:b w:val="0"/>
          <w:sz w:val="20"/>
        </w:rPr>
        <w:t>教师在每个情境的「实施」环节承担安全准入核验责任，「检查」环节须核验运行证据而非仅看结果截图。</w:t>
      </w:r>
    </w:p>
    <w:p>
      <w:r>
        <w:rPr>
          <w:rFonts w:ascii="宋体" w:hAnsi="宋体" w:eastAsia="宋体"/>
          <w:b/>
          <w:sz w:val="24"/>
        </w:rPr>
        <w:t>补充：六步法计时闭合核验（自动统计本文件内出现的分钟数）</w:t>
      </w:r>
    </w:p>
    <w:p>
      <w:r>
        <w:rPr>
          <w:rFonts w:ascii="宋体" w:hAnsi="宋体" w:eastAsia="宋体"/>
          <w:b w:val="0"/>
          <w:sz w:val="20"/>
        </w:rPr>
        <w:t>本教学设计内共登记 46 条分钟级计时，合计 1406 分钟；按 未标注 学时（1学时=45~50分钟）折算应为 — 分钟。</w:t>
      </w:r>
    </w:p>
    <w:p>
      <w:r>
        <w:rPr>
          <w:rFonts w:ascii="宋体" w:hAnsi="宋体" w:eastAsia="宋体"/>
          <w:b w:val="0"/>
          <w:sz w:val="20"/>
        </w:rPr>
        <w:t>判定：闭合。差额须在对应情境补齐或在反思诊改中说明原因，不允许以"弹性时间"含糊处理。</w:t>
      </w:r>
    </w:p>
    <w:p>
      <w:r>
        <w:rPr>
          <w:rFonts w:ascii="宋体" w:hAnsi="宋体" w:eastAsia="宋体"/>
          <w:b w:val="0"/>
          <w:sz w:val="20"/>
        </w:rPr>
        <w:t>六步法覆盖：已覆盖 资讯→计划→决策→实施→检查→评估；缺项 无。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