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06FE65">
      <w:pPr>
        <w:spacing w:before="1440" w:after="0" w:line="594" w:lineRule="exact"/>
        <w:jc w:val="center"/>
      </w:pPr>
      <w:r>
        <w:rPr>
          <w:rFonts w:ascii="Times New Roman" w:hAnsi="Times New Roman" w:eastAsia="宋体"/>
          <w:b w:val="0"/>
          <w:sz w:val="72"/>
        </w:rPr>
        <w:t>《Python编程基础》</w:t>
      </w:r>
    </w:p>
    <w:p w14:paraId="4C24E2F7">
      <w:pPr>
        <w:spacing w:before="0" w:after="0" w:line="594" w:lineRule="exact"/>
        <w:jc w:val="center"/>
      </w:pPr>
      <w:r>
        <w:rPr>
          <w:rFonts w:ascii="Times New Roman" w:hAnsi="Times New Roman" w:eastAsia="宋体"/>
          <w:b w:val="0"/>
          <w:sz w:val="72"/>
        </w:rPr>
        <w:t>课程标准</w:t>
      </w:r>
    </w:p>
    <w:p w14:paraId="15AF8C33">
      <w:pPr>
        <w:spacing w:before="0" w:after="0" w:line="594" w:lineRule="exact"/>
      </w:pPr>
    </w:p>
    <w:p w14:paraId="0D3153D3">
      <w:pPr>
        <w:spacing w:before="480" w:after="0" w:line="594" w:lineRule="exact"/>
      </w:pPr>
      <w:r>
        <w:rPr>
          <w:rFonts w:ascii="Times New Roman" w:hAnsi="Times New Roman" w:eastAsia="黑体"/>
          <w:b w:val="0"/>
          <w:sz w:val="36"/>
        </w:rPr>
        <w:t xml:space="preserve">部    门： 智能控制学院        </w:t>
      </w:r>
    </w:p>
    <w:p w14:paraId="62427327">
      <w:pPr>
        <w:spacing w:before="480" w:after="0" w:line="594" w:lineRule="exact"/>
      </w:pPr>
      <w:r>
        <w:rPr>
          <w:rFonts w:ascii="Times New Roman" w:hAnsi="Times New Roman" w:eastAsia="黑体"/>
          <w:b w:val="0"/>
          <w:sz w:val="36"/>
        </w:rPr>
        <w:t xml:space="preserve">编制依据： 本专业人才培养方案；职业教育国家教学标准体系（含2025年修订版专业教学标准，高职专科'工业互联网技术'专业可对照）        </w:t>
      </w:r>
    </w:p>
    <w:p w14:paraId="55765EA3">
      <w:pPr>
        <w:spacing w:before="480" w:after="0" w:line="594" w:lineRule="exact"/>
      </w:pPr>
      <w:r>
        <w:rPr>
          <w:rFonts w:ascii="Times New Roman" w:hAnsi="Times New Roman" w:eastAsia="黑体"/>
          <w:b w:val="0"/>
          <w:sz w:val="36"/>
        </w:rPr>
        <w:t xml:space="preserve">制    订： 工业互联网应用专业教学团队        </w:t>
      </w:r>
    </w:p>
    <w:p w14:paraId="7C13283A">
      <w:pPr>
        <w:spacing w:before="480" w:after="0" w:line="594" w:lineRule="exact"/>
      </w:pPr>
      <w:r>
        <w:rPr>
          <w:rFonts w:ascii="Times New Roman" w:hAnsi="Times New Roman" w:eastAsia="黑体"/>
          <w:b w:val="0"/>
          <w:sz w:val="36"/>
        </w:rPr>
        <w:t xml:space="preserve">课程负责人： </w:t>
      </w:r>
      <w:r>
        <w:rPr>
          <w:rFonts w:hint="eastAsia" w:ascii="Times New Roman" w:hAnsi="Times New Roman" w:eastAsia="黑体"/>
          <w:b w:val="0"/>
          <w:sz w:val="36"/>
          <w:lang w:val="en-US" w:eastAsia="zh-CN"/>
        </w:rPr>
        <w:t>宫宇伟</w:t>
      </w:r>
      <w:r>
        <w:rPr>
          <w:rFonts w:ascii="Times New Roman" w:hAnsi="Times New Roman" w:eastAsia="黑体"/>
          <w:b w:val="0"/>
          <w:sz w:val="36"/>
        </w:rPr>
        <w:t xml:space="preserve">                   </w:t>
      </w:r>
    </w:p>
    <w:p w14:paraId="7325BD9C">
      <w:pPr>
        <w:spacing w:before="480" w:after="0" w:line="594" w:lineRule="exact"/>
      </w:pPr>
      <w:r>
        <w:rPr>
          <w:rFonts w:ascii="Times New Roman" w:hAnsi="Times New Roman" w:eastAsia="黑体"/>
          <w:b w:val="0"/>
          <w:sz w:val="36"/>
        </w:rPr>
        <w:t xml:space="preserve">二级学院院长：    </w:t>
      </w:r>
      <w:r>
        <w:rPr>
          <w:rFonts w:hint="eastAsia" w:ascii="Times New Roman" w:hAnsi="Times New Roman" w:eastAsia="黑体"/>
          <w:b w:val="0"/>
          <w:sz w:val="36"/>
          <w:lang w:val="en-US" w:eastAsia="zh-CN"/>
        </w:rPr>
        <w:t>官勇</w:t>
      </w:r>
      <w:r>
        <w:rPr>
          <w:rFonts w:ascii="Times New Roman" w:hAnsi="Times New Roman" w:eastAsia="黑体"/>
          <w:b w:val="0"/>
          <w:sz w:val="36"/>
        </w:rPr>
        <w:t xml:space="preserve">                </w:t>
      </w:r>
    </w:p>
    <w:p w14:paraId="248851E7">
      <w:pPr>
        <w:spacing w:before="480" w:after="0" w:line="594" w:lineRule="exact"/>
      </w:pPr>
      <w:r>
        <w:rPr>
          <w:rFonts w:ascii="Times New Roman" w:hAnsi="Times New Roman" w:eastAsia="黑体"/>
          <w:b w:val="0"/>
          <w:sz w:val="36"/>
        </w:rPr>
        <w:t>制订时间： 2026  年 8 月</w:t>
      </w:r>
    </w:p>
    <w:p w14:paraId="3199F811">
      <w:pPr>
        <w:spacing w:before="0" w:after="0" w:line="594" w:lineRule="exact"/>
      </w:pPr>
    </w:p>
    <w:p w14:paraId="3A08FD07">
      <w:pPr>
        <w:spacing w:before="1920" w:after="0" w:line="594" w:lineRule="exact"/>
        <w:jc w:val="center"/>
      </w:pPr>
      <w:r>
        <w:rPr>
          <w:rFonts w:ascii="Times New Roman" w:hAnsi="Times New Roman" w:eastAsia="黑体"/>
          <w:b w:val="0"/>
          <w:sz w:val="32"/>
        </w:rPr>
        <w:t>重庆现代制造职业学院 编印</w:t>
      </w:r>
    </w:p>
    <w:p w14:paraId="4B4BCED3">
      <w:pPr>
        <w:sectPr>
          <w:headerReference w:type="default" r:id="rId10"/>
          <w:footerReference w:type="default" r:id="rId11"/>
          <w:pgSz w:w="11906" w:h="16838"/>
          <w:pgMar w:top="1411" w:right="1411" w:bottom="1411" w:left="1411" w:header="720" w:footer="720" w:gutter="0"/>
          <w:cols w:space="720" w:num="1"/>
          <w:docGrid w:linePitch="360" w:charSpace="0"/>
        </w:sectPr>
      </w:pPr>
    </w:p>
    <w:p w14:paraId="60F808E6">
      <w:pPr>
        <w:spacing w:before="0" w:after="0" w:line="594" w:lineRule="exact"/>
        <w:jc w:val="center"/>
      </w:pPr>
      <w:r>
        <w:rPr>
          <w:rFonts w:ascii="Times New Roman" w:hAnsi="Times New Roman" w:eastAsia="黑体"/>
          <w:b/>
          <w:sz w:val="32"/>
        </w:rPr>
        <w:t>目  录</w:t>
      </w:r>
    </w:p>
    <w:p w14:paraId="7A12593B">
      <w:pPr>
        <w:tabs>
          <w:tab w:val="right" w:leader="dot" w:pos="9070"/>
        </w:tabs>
        <w:spacing w:line="480" w:lineRule="exact"/>
        <w:ind w:left="0"/>
      </w:pPr>
      <w:r>
        <w:rPr>
          <w:rFonts w:ascii="Times New Roman" w:hAnsi="Times New Roman" w:eastAsia="方正仿宋_GBK"/>
          <w:b/>
          <w:sz w:val="28"/>
        </w:rPr>
        <w:t>一、课程概述</w:t>
      </w:r>
      <w:r>
        <w:rPr>
          <w:rFonts w:ascii="Times New Roman" w:hAnsi="Times New Roman" w:eastAsia="方正仿宋_GBK"/>
          <w:b/>
          <w:sz w:val="28"/>
        </w:rPr>
        <w:tab/>
      </w:r>
      <w:r>
        <w:rPr>
          <w:rFonts w:ascii="Times New Roman" w:hAnsi="Times New Roman" w:eastAsia="方正仿宋_GBK"/>
          <w:b/>
          <w:sz w:val="28"/>
        </w:rPr>
        <w:t>1</w:t>
      </w:r>
    </w:p>
    <w:p w14:paraId="55F7987B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（一）课程基本信息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1</w:t>
      </w:r>
    </w:p>
    <w:p w14:paraId="22321F0F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（二）本课程与其他课程的关系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1</w:t>
      </w:r>
    </w:p>
    <w:p w14:paraId="01EA1F46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（三）课程性质与定位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2</w:t>
      </w:r>
    </w:p>
    <w:p w14:paraId="59AB6AC8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（四）课程基本教学理念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2</w:t>
      </w:r>
    </w:p>
    <w:p w14:paraId="6046E92E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（五）“岗课赛证创”五维融通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3</w:t>
      </w:r>
    </w:p>
    <w:p w14:paraId="74744D90">
      <w:pPr>
        <w:tabs>
          <w:tab w:val="right" w:leader="dot" w:pos="9070"/>
        </w:tabs>
        <w:spacing w:line="480" w:lineRule="exact"/>
        <w:ind w:left="0"/>
      </w:pPr>
      <w:r>
        <w:rPr>
          <w:rFonts w:ascii="Times New Roman" w:hAnsi="Times New Roman" w:eastAsia="方正仿宋_GBK"/>
          <w:b/>
          <w:sz w:val="28"/>
        </w:rPr>
        <w:t>二、教学目标</w:t>
      </w:r>
      <w:r>
        <w:rPr>
          <w:rFonts w:ascii="Times New Roman" w:hAnsi="Times New Roman" w:eastAsia="方正仿宋_GBK"/>
          <w:b/>
          <w:sz w:val="28"/>
        </w:rPr>
        <w:tab/>
      </w:r>
      <w:r>
        <w:rPr>
          <w:rFonts w:ascii="Times New Roman" w:hAnsi="Times New Roman" w:eastAsia="方正仿宋_GBK"/>
          <w:b/>
          <w:sz w:val="28"/>
        </w:rPr>
        <w:t>4</w:t>
      </w:r>
    </w:p>
    <w:p w14:paraId="3DDBA9D8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（一）知识目标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4</w:t>
      </w:r>
    </w:p>
    <w:p w14:paraId="18EA81EC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（二）能力目标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5</w:t>
      </w:r>
    </w:p>
    <w:p w14:paraId="504CE0EF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（三）素质目标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5</w:t>
      </w:r>
    </w:p>
    <w:p w14:paraId="158A6D0F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（四）研究与创新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5</w:t>
      </w:r>
    </w:p>
    <w:p w14:paraId="321DD38B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（五）可持续发展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6</w:t>
      </w:r>
    </w:p>
    <w:p w14:paraId="671FC7DC">
      <w:pPr>
        <w:tabs>
          <w:tab w:val="right" w:leader="dot" w:pos="9070"/>
        </w:tabs>
        <w:spacing w:line="480" w:lineRule="exact"/>
        <w:ind w:left="0"/>
      </w:pPr>
      <w:r>
        <w:rPr>
          <w:rFonts w:ascii="Times New Roman" w:hAnsi="Times New Roman" w:eastAsia="方正仿宋_GBK"/>
          <w:b/>
          <w:sz w:val="28"/>
        </w:rPr>
        <w:t>三、教学内容</w:t>
      </w:r>
      <w:r>
        <w:rPr>
          <w:rFonts w:ascii="Times New Roman" w:hAnsi="Times New Roman" w:eastAsia="方正仿宋_GBK"/>
          <w:b/>
          <w:sz w:val="28"/>
        </w:rPr>
        <w:tab/>
      </w:r>
      <w:r>
        <w:rPr>
          <w:rFonts w:ascii="Times New Roman" w:hAnsi="Times New Roman" w:eastAsia="方正仿宋_GBK"/>
          <w:b/>
          <w:sz w:val="28"/>
        </w:rPr>
        <w:t>6</w:t>
      </w:r>
    </w:p>
    <w:p w14:paraId="531918DB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（一）教学方式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6</w:t>
      </w:r>
    </w:p>
    <w:p w14:paraId="489013BA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（二）教学任务与工作内容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6</w:t>
      </w:r>
    </w:p>
    <w:p w14:paraId="72849E87">
      <w:pPr>
        <w:tabs>
          <w:tab w:val="right" w:leader="dot" w:pos="9070"/>
        </w:tabs>
        <w:spacing w:line="480" w:lineRule="exact"/>
        <w:ind w:left="0"/>
      </w:pPr>
      <w:r>
        <w:rPr>
          <w:rFonts w:ascii="Times New Roman" w:hAnsi="Times New Roman" w:eastAsia="方正仿宋_GBK"/>
          <w:b/>
          <w:sz w:val="28"/>
        </w:rPr>
        <w:t>四、课程实施保障条件</w:t>
      </w:r>
      <w:r>
        <w:rPr>
          <w:rFonts w:ascii="Times New Roman" w:hAnsi="Times New Roman" w:eastAsia="方正仿宋_GBK"/>
          <w:b/>
          <w:sz w:val="28"/>
        </w:rPr>
        <w:tab/>
      </w:r>
      <w:r>
        <w:rPr>
          <w:rFonts w:ascii="Times New Roman" w:hAnsi="Times New Roman" w:eastAsia="方正仿宋_GBK"/>
          <w:b/>
          <w:sz w:val="28"/>
        </w:rPr>
        <w:t>7</w:t>
      </w:r>
    </w:p>
    <w:p w14:paraId="5F8E3B33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（一）实训（实习）条件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7</w:t>
      </w:r>
    </w:p>
    <w:p w14:paraId="2BED2571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（二）教学团队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8</w:t>
      </w:r>
    </w:p>
    <w:p w14:paraId="3425ED3E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（三）学习资源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8</w:t>
      </w:r>
    </w:p>
    <w:p w14:paraId="07543D1F">
      <w:pPr>
        <w:tabs>
          <w:tab w:val="right" w:leader="dot" w:pos="9070"/>
        </w:tabs>
        <w:spacing w:line="480" w:lineRule="exact"/>
        <w:ind w:left="0"/>
      </w:pPr>
      <w:r>
        <w:rPr>
          <w:rFonts w:ascii="Times New Roman" w:hAnsi="Times New Roman" w:eastAsia="方正仿宋_GBK"/>
          <w:b/>
          <w:sz w:val="28"/>
        </w:rPr>
        <w:t>五、学习评价</w:t>
      </w:r>
      <w:r>
        <w:rPr>
          <w:rFonts w:ascii="Times New Roman" w:hAnsi="Times New Roman" w:eastAsia="方正仿宋_GBK"/>
          <w:b/>
          <w:sz w:val="28"/>
        </w:rPr>
        <w:tab/>
      </w:r>
      <w:r>
        <w:rPr>
          <w:rFonts w:ascii="Times New Roman" w:hAnsi="Times New Roman" w:eastAsia="方正仿宋_GBK"/>
          <w:b/>
          <w:sz w:val="28"/>
        </w:rPr>
        <w:t>8</w:t>
      </w:r>
    </w:p>
    <w:p w14:paraId="05415A33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（一）课程评价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8</w:t>
      </w:r>
    </w:p>
    <w:p w14:paraId="58C4CDB0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（二）通过标准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9</w:t>
      </w:r>
    </w:p>
    <w:p w14:paraId="230BC7AA">
      <w:pPr>
        <w:tabs>
          <w:tab w:val="right" w:leader="dot" w:pos="9070"/>
        </w:tabs>
        <w:spacing w:line="480" w:lineRule="exact"/>
        <w:ind w:left="480"/>
      </w:pPr>
      <w:r>
        <w:rPr>
          <w:rFonts w:ascii="Times New Roman" w:hAnsi="Times New Roman" w:eastAsia="方正仿宋_GBK"/>
          <w:b w:val="0"/>
          <w:sz w:val="28"/>
        </w:rPr>
        <w:t>（三）质量保障与持续改进</w:t>
      </w:r>
      <w:r>
        <w:rPr>
          <w:rFonts w:ascii="Times New Roman" w:hAnsi="Times New Roman" w:eastAsia="方正仿宋_GBK"/>
          <w:b w:val="0"/>
          <w:sz w:val="28"/>
        </w:rPr>
        <w:tab/>
      </w:r>
      <w:r>
        <w:rPr>
          <w:rFonts w:ascii="Times New Roman" w:hAnsi="Times New Roman" w:eastAsia="方正仿宋_GBK"/>
          <w:b w:val="0"/>
          <w:sz w:val="28"/>
        </w:rPr>
        <w:t>9</w:t>
      </w:r>
    </w:p>
    <w:p w14:paraId="28B6FA36">
      <w:r>
        <w:br w:type="page"/>
      </w:r>
    </w:p>
    <w:p w14:paraId="425CD7D2">
      <w:pPr>
        <w:spacing w:before="240" w:after="0" w:line="594" w:lineRule="exact"/>
      </w:pPr>
      <w:r>
        <w:rPr>
          <w:rFonts w:ascii="Times New Roman" w:hAnsi="Times New Roman" w:eastAsia="方正黑体_GBK"/>
          <w:b w:val="0"/>
          <w:sz w:val="32"/>
        </w:rPr>
        <w:t>一、课程概述</w:t>
      </w:r>
    </w:p>
    <w:p w14:paraId="4B6F9DE4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（一）课程基本信息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1"/>
        <w:gridCol w:w="2271"/>
        <w:gridCol w:w="2271"/>
        <w:gridCol w:w="2271"/>
      </w:tblGrid>
      <w:tr w14:paraId="049B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0" w:type="dxa"/>
            <w:vAlign w:val="center"/>
          </w:tcPr>
          <w:p w14:paraId="0D8C744E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课程代码</w:t>
            </w:r>
          </w:p>
        </w:tc>
        <w:tc>
          <w:tcPr>
            <w:tcW w:w="2400" w:type="dxa"/>
            <w:vAlign w:val="center"/>
          </w:tcPr>
          <w:p w14:paraId="57872831">
            <w:pPr>
              <w:spacing w:after="0" w:line="360" w:lineRule="exact"/>
            </w:pPr>
            <w:r>
              <w:rPr>
                <w:rFonts w:hint="eastAsia"/>
                <w:lang w:val="en-US" w:eastAsia="zh-CN"/>
              </w:rPr>
              <w:t>032607203</w:t>
            </w:r>
          </w:p>
        </w:tc>
        <w:tc>
          <w:tcPr>
            <w:tcW w:w="2450" w:type="dxa"/>
            <w:vAlign w:val="center"/>
          </w:tcPr>
          <w:p w14:paraId="2EE17B5F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开课学院</w:t>
            </w:r>
          </w:p>
        </w:tc>
        <w:tc>
          <w:tcPr>
            <w:tcW w:w="2400" w:type="dxa"/>
            <w:vAlign w:val="center"/>
          </w:tcPr>
          <w:p w14:paraId="36D56C14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智能控制学院</w:t>
            </w:r>
          </w:p>
        </w:tc>
      </w:tr>
      <w:tr w14:paraId="3C503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0" w:type="dxa"/>
            <w:shd w:val="clear" w:color="auto" w:fill="EDEDED"/>
            <w:vAlign w:val="center"/>
          </w:tcPr>
          <w:p w14:paraId="53C73F58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课程名称</w:t>
            </w:r>
          </w:p>
        </w:tc>
        <w:tc>
          <w:tcPr>
            <w:tcW w:w="7250" w:type="dxa"/>
            <w:gridSpan w:val="3"/>
            <w:shd w:val="clear" w:color="auto" w:fill="EDEDED"/>
            <w:vAlign w:val="center"/>
          </w:tcPr>
          <w:p w14:paraId="4174B785">
            <w:pPr>
              <w:spacing w:after="0" w:line="360" w:lineRule="exac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程序设计基础</w:t>
            </w:r>
          </w:p>
          <w:p w14:paraId="030B6234">
            <w:pPr>
              <w:spacing w:after="0" w:line="360" w:lineRule="exact"/>
            </w:pPr>
            <w:bookmarkStart w:id="0" w:name="_GoBack"/>
            <w:bookmarkEnd w:id="0"/>
          </w:p>
        </w:tc>
      </w:tr>
      <w:tr w14:paraId="55EC7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0" w:type="dxa"/>
            <w:shd w:val="clear" w:color="auto" w:fill="EDEDED"/>
            <w:vAlign w:val="center"/>
          </w:tcPr>
          <w:p w14:paraId="464EBB0A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面向的职业及岗位</w:t>
            </w:r>
          </w:p>
        </w:tc>
        <w:tc>
          <w:tcPr>
            <w:tcW w:w="7250" w:type="dxa"/>
            <w:gridSpan w:val="3"/>
            <w:shd w:val="clear" w:color="auto" w:fill="EDEDED"/>
            <w:vAlign w:val="center"/>
          </w:tcPr>
          <w:p w14:paraId="0BA5139E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工业数据采集技术员、边缘计算运维员、工业网络实施与运维工程师、工业互联网平台运维员</w:t>
            </w:r>
          </w:p>
          <w:p w14:paraId="27287045">
            <w:pPr>
              <w:spacing w:after="0" w:line="360" w:lineRule="exact"/>
            </w:pPr>
          </w:p>
          <w:p w14:paraId="7BAF4574">
            <w:pPr>
              <w:spacing w:after="0" w:line="360" w:lineRule="exact"/>
            </w:pPr>
          </w:p>
        </w:tc>
      </w:tr>
      <w:tr w14:paraId="278FD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0" w:type="dxa"/>
            <w:vAlign w:val="center"/>
          </w:tcPr>
          <w:p w14:paraId="32666623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学分</w:t>
            </w:r>
          </w:p>
        </w:tc>
        <w:tc>
          <w:tcPr>
            <w:tcW w:w="2400" w:type="dxa"/>
            <w:vAlign w:val="center"/>
          </w:tcPr>
          <w:p w14:paraId="23FD0CA6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3</w:t>
            </w:r>
          </w:p>
        </w:tc>
        <w:tc>
          <w:tcPr>
            <w:tcW w:w="2450" w:type="dxa"/>
            <w:vAlign w:val="center"/>
          </w:tcPr>
          <w:p w14:paraId="173E9C32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总学时</w:t>
            </w:r>
          </w:p>
        </w:tc>
        <w:tc>
          <w:tcPr>
            <w:tcW w:w="2400" w:type="dxa"/>
            <w:vAlign w:val="center"/>
          </w:tcPr>
          <w:p w14:paraId="111FD50F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48</w:t>
            </w:r>
          </w:p>
        </w:tc>
      </w:tr>
      <w:tr w14:paraId="6B567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0" w:type="dxa"/>
            <w:vAlign w:val="center"/>
          </w:tcPr>
          <w:p w14:paraId="2211397F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理论学时</w:t>
            </w:r>
          </w:p>
        </w:tc>
        <w:tc>
          <w:tcPr>
            <w:tcW w:w="2400" w:type="dxa"/>
            <w:vAlign w:val="center"/>
          </w:tcPr>
          <w:p w14:paraId="4BD8084F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24</w:t>
            </w:r>
          </w:p>
        </w:tc>
        <w:tc>
          <w:tcPr>
            <w:tcW w:w="2450" w:type="dxa"/>
            <w:vAlign w:val="center"/>
          </w:tcPr>
          <w:p w14:paraId="2A0B95B3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实习（训）学时</w:t>
            </w:r>
          </w:p>
        </w:tc>
        <w:tc>
          <w:tcPr>
            <w:tcW w:w="2400" w:type="dxa"/>
            <w:vAlign w:val="center"/>
          </w:tcPr>
          <w:p w14:paraId="54F626A9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24</w:t>
            </w:r>
          </w:p>
        </w:tc>
      </w:tr>
      <w:tr w14:paraId="3D313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0" w:type="dxa"/>
            <w:vAlign w:val="center"/>
          </w:tcPr>
          <w:p w14:paraId="07420D41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课时标准</w:t>
            </w:r>
          </w:p>
        </w:tc>
        <w:tc>
          <w:tcPr>
            <w:tcW w:w="2400" w:type="dxa"/>
            <w:vAlign w:val="center"/>
          </w:tcPr>
          <w:p w14:paraId="29C38B4C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每课时40分钟</w:t>
            </w:r>
          </w:p>
        </w:tc>
        <w:tc>
          <w:tcPr>
            <w:tcW w:w="2450" w:type="dxa"/>
            <w:vAlign w:val="center"/>
          </w:tcPr>
          <w:p w14:paraId="7D2373BC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开课时间</w:t>
            </w:r>
          </w:p>
        </w:tc>
        <w:tc>
          <w:tcPr>
            <w:tcW w:w="2400" w:type="dxa"/>
            <w:vAlign w:val="center"/>
          </w:tcPr>
          <w:p w14:paraId="3FA25510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第1-12周（大一新生）</w:t>
            </w:r>
          </w:p>
        </w:tc>
      </w:tr>
      <w:tr w14:paraId="67CFD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50" w:type="dxa"/>
            <w:vAlign w:val="center"/>
          </w:tcPr>
          <w:p w14:paraId="16BD5DBC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使用教材</w:t>
            </w:r>
          </w:p>
        </w:tc>
        <w:tc>
          <w:tcPr>
            <w:tcW w:w="7250" w:type="dxa"/>
            <w:gridSpan w:val="3"/>
            <w:vAlign w:val="center"/>
          </w:tcPr>
          <w:p w14:paraId="0A7A7B33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Python程序设计项目化教程（活页式）（任越美 李垒 李江岱 主编）ISBN 978-7-313-30507-7 | 上海交通大学出版社 | 2024年12月 | “十四五”职业教育国家规划教材</w:t>
            </w:r>
          </w:p>
          <w:p w14:paraId="3AC221D3">
            <w:pPr>
              <w:spacing w:after="0" w:line="360" w:lineRule="exact"/>
            </w:pPr>
          </w:p>
          <w:p w14:paraId="5A78FCE7">
            <w:pPr>
              <w:spacing w:after="0" w:line="360" w:lineRule="exact"/>
            </w:pPr>
          </w:p>
        </w:tc>
      </w:tr>
    </w:tbl>
    <w:p w14:paraId="76E9D428">
      <w:pPr>
        <w:spacing w:before="0" w:after="0" w:line="594" w:lineRule="exact"/>
      </w:pPr>
    </w:p>
    <w:p w14:paraId="33B712F3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（二）本课程与其他课程的关系</w:t>
      </w:r>
    </w:p>
    <w:p w14:paraId="7E86A027">
      <w:pPr>
        <w:spacing w:before="0" w:after="0" w:line="594" w:lineRule="exact"/>
        <w:jc w:val="center"/>
      </w:pPr>
      <w:r>
        <w:rPr>
          <w:rFonts w:ascii="Times New Roman" w:hAnsi="Times New Roman" w:eastAsia="方正仿宋_GBK"/>
          <w:b w:val="0"/>
          <w:sz w:val="28"/>
        </w:rPr>
        <w:t>本课程与其它课程的关系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8"/>
        <w:gridCol w:w="3028"/>
        <w:gridCol w:w="3028"/>
      </w:tblGrid>
      <w:tr w14:paraId="7CDEC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0" w:type="dxa"/>
            <w:shd w:val="clear" w:color="auto" w:fill="EDEDED"/>
            <w:vAlign w:val="center"/>
          </w:tcPr>
          <w:p w14:paraId="7B9A12A6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序号</w:t>
            </w:r>
          </w:p>
        </w:tc>
        <w:tc>
          <w:tcPr>
            <w:tcW w:w="3100" w:type="dxa"/>
            <w:shd w:val="clear" w:color="auto" w:fill="EDEDED"/>
            <w:vAlign w:val="center"/>
          </w:tcPr>
          <w:p w14:paraId="5DBA0C6A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前续课程</w:t>
            </w:r>
          </w:p>
        </w:tc>
        <w:tc>
          <w:tcPr>
            <w:tcW w:w="6499" w:type="dxa"/>
            <w:shd w:val="clear" w:color="auto" w:fill="EDEDED"/>
            <w:vAlign w:val="center"/>
          </w:tcPr>
          <w:p w14:paraId="7AD528E0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相互衔接和关联的知识点、技能点、软硬件工具、标准规范</w:t>
            </w:r>
          </w:p>
        </w:tc>
      </w:tr>
      <w:tr w14:paraId="4C1BB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0" w:type="dxa"/>
            <w:vAlign w:val="center"/>
          </w:tcPr>
          <w:p w14:paraId="4DE9E13E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1</w:t>
            </w:r>
          </w:p>
        </w:tc>
        <w:tc>
          <w:tcPr>
            <w:tcW w:w="3100" w:type="dxa"/>
            <w:vAlign w:val="center"/>
          </w:tcPr>
          <w:p w14:paraId="1B9F6936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计算机文化基础</w:t>
            </w:r>
          </w:p>
        </w:tc>
        <w:tc>
          <w:tcPr>
            <w:tcW w:w="6499" w:type="dxa"/>
            <w:vAlign w:val="center"/>
          </w:tcPr>
          <w:p w14:paraId="3D8C66D4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计算机系统结构、操作系统、文件管理、网络基础概念</w:t>
            </w:r>
          </w:p>
        </w:tc>
      </w:tr>
      <w:tr w14:paraId="0219F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0" w:type="dxa"/>
            <w:vAlign w:val="center"/>
          </w:tcPr>
          <w:p w14:paraId="0F21FF3D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2</w:t>
            </w:r>
          </w:p>
        </w:tc>
        <w:tc>
          <w:tcPr>
            <w:tcW w:w="3100" w:type="dxa"/>
            <w:vAlign w:val="center"/>
          </w:tcPr>
          <w:p w14:paraId="38BD32E1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数学基础</w:t>
            </w:r>
          </w:p>
        </w:tc>
        <w:tc>
          <w:tcPr>
            <w:tcW w:w="6499" w:type="dxa"/>
            <w:vAlign w:val="center"/>
          </w:tcPr>
          <w:p w14:paraId="0CB1A49B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逻辑运算、集合论、统计学基础、线性代数初步</w:t>
            </w:r>
          </w:p>
        </w:tc>
      </w:tr>
      <w:tr w14:paraId="205D7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0" w:type="dxa"/>
            <w:shd w:val="clear" w:color="auto" w:fill="EDEDED"/>
            <w:vAlign w:val="center"/>
          </w:tcPr>
          <w:p w14:paraId="6F06A9C8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序号</w:t>
            </w:r>
          </w:p>
        </w:tc>
        <w:tc>
          <w:tcPr>
            <w:tcW w:w="3100" w:type="dxa"/>
            <w:shd w:val="clear" w:color="auto" w:fill="EDEDED"/>
            <w:vAlign w:val="center"/>
          </w:tcPr>
          <w:p w14:paraId="04CC0E33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后续课程</w:t>
            </w:r>
          </w:p>
        </w:tc>
        <w:tc>
          <w:tcPr>
            <w:tcW w:w="6499" w:type="dxa"/>
            <w:shd w:val="clear" w:color="auto" w:fill="EDEDED"/>
            <w:vAlign w:val="center"/>
          </w:tcPr>
          <w:p w14:paraId="1F6095EC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相互衔接和关联的知识点、技能点、软硬件工具、标准规范</w:t>
            </w:r>
          </w:p>
        </w:tc>
      </w:tr>
      <w:tr w14:paraId="11AE5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0" w:type="dxa"/>
            <w:vAlign w:val="center"/>
          </w:tcPr>
          <w:p w14:paraId="2E2F46A1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1</w:t>
            </w:r>
          </w:p>
        </w:tc>
        <w:tc>
          <w:tcPr>
            <w:tcW w:w="3100" w:type="dxa"/>
            <w:vAlign w:val="center"/>
          </w:tcPr>
          <w:p w14:paraId="5F8F1E24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AI应用基础</w:t>
            </w:r>
          </w:p>
        </w:tc>
        <w:tc>
          <w:tcPr>
            <w:tcW w:w="6499" w:type="dxa"/>
            <w:vAlign w:val="center"/>
          </w:tcPr>
          <w:p w14:paraId="5A0E8A4C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知识点：NumPy数组、数据处理、数据规范化 / 技能点：特征工程、模型输入准备 / 库：scikit-learn、PyTorch</w:t>
            </w:r>
          </w:p>
        </w:tc>
      </w:tr>
      <w:tr w14:paraId="57908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0" w:type="dxa"/>
            <w:vAlign w:val="center"/>
          </w:tcPr>
          <w:p w14:paraId="17E9C910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2</w:t>
            </w:r>
          </w:p>
        </w:tc>
        <w:tc>
          <w:tcPr>
            <w:tcW w:w="3100" w:type="dxa"/>
            <w:vAlign w:val="center"/>
          </w:tcPr>
          <w:p w14:paraId="60536609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计算机网络基础</w:t>
            </w:r>
          </w:p>
        </w:tc>
        <w:tc>
          <w:tcPr>
            <w:tcW w:w="6499" w:type="dxa"/>
            <w:vAlign w:val="center"/>
          </w:tcPr>
          <w:p w14:paraId="101A641C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知识点：Socket、HTTP、TCP/IP / 技能点：网络故障诊断 / 工具：Wireshark</w:t>
            </w:r>
          </w:p>
        </w:tc>
      </w:tr>
      <w:tr w14:paraId="49A97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0" w:type="dxa"/>
            <w:vAlign w:val="center"/>
          </w:tcPr>
          <w:p w14:paraId="1F4F7AD6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3</w:t>
            </w:r>
          </w:p>
        </w:tc>
        <w:tc>
          <w:tcPr>
            <w:tcW w:w="3100" w:type="dxa"/>
            <w:vAlign w:val="center"/>
          </w:tcPr>
          <w:p w14:paraId="0341EDF4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工业互联网应用集成</w:t>
            </w:r>
          </w:p>
        </w:tc>
        <w:tc>
          <w:tcPr>
            <w:tcW w:w="6499" w:type="dxa"/>
            <w:vAlign w:val="center"/>
          </w:tcPr>
          <w:p w14:paraId="5D006307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系统集成、数据流程、ETL工程、完整数据管道构建</w:t>
            </w:r>
          </w:p>
        </w:tc>
      </w:tr>
    </w:tbl>
    <w:p w14:paraId="635372A0">
      <w:pPr>
        <w:spacing w:before="0" w:after="0" w:line="594" w:lineRule="exact"/>
      </w:pPr>
    </w:p>
    <w:p w14:paraId="0535F27E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（三）课程性质与定位</w:t>
      </w:r>
    </w:p>
    <w:p w14:paraId="3E317EE6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本课程是工业互联网应用专业的核心基础课程，旨在培养面向零编程基础或基础薄弱大一新生的Python编程能力，特别是面向对象编程思想、第三方库应用和工业数据处理能力。</w:t>
      </w:r>
    </w:p>
    <w:p w14:paraId="156533CD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课程通过真实工业数据处理场景教学，强调项目驱动和动手实践，培养学生的工程化软件开发思想，为后续AI应用、网络编程等课程奠定基础。</w:t>
      </w:r>
    </w:p>
    <w:p w14:paraId="67402B39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（四）课程基本教学理念</w:t>
      </w:r>
    </w:p>
    <w:p w14:paraId="1A05A76E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1.项目驱动，真实场景：围绕工业数据采集、处理、展示的完整任务链设计课程。</w:t>
      </w:r>
    </w:p>
    <w:p w14:paraId="36356539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2.理实一体，融合教学：课堂讲解与实训操作同步，理论在实践中验证。</w:t>
      </w:r>
    </w:p>
    <w:p w14:paraId="0D74F6F6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3.循序渐进：基础语法→函数与模块→面向对象→第三方库应用。</w:t>
      </w:r>
    </w:p>
    <w:p w14:paraId="75503857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4.代码规范，工程思维：重视PEP 8规范、注释文档等工程实践。</w:t>
      </w:r>
    </w:p>
    <w:p w14:paraId="5C97F5C7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5.分层教学，因材施教：困难学生有补强，优秀学生有拓展（ABCD层师徒制）。</w:t>
      </w:r>
    </w:p>
    <w:p w14:paraId="7246F432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6.及时反馈，循环改进：每周反馈、中期诊断、末期复习。</w:t>
      </w:r>
    </w:p>
    <w:p w14:paraId="3AAE84C6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（五）“岗课赛证创”五维融通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42"/>
        <w:gridCol w:w="4542"/>
      </w:tblGrid>
      <w:tr w14:paraId="6F6B9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0" w:type="dxa"/>
            <w:shd w:val="clear" w:color="auto" w:fill="EDEDED"/>
            <w:vAlign w:val="center"/>
          </w:tcPr>
          <w:p w14:paraId="083DBE0A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维度</w:t>
            </w:r>
          </w:p>
        </w:tc>
        <w:tc>
          <w:tcPr>
            <w:tcW w:w="8799" w:type="dxa"/>
            <w:shd w:val="clear" w:color="auto" w:fill="EDEDED"/>
            <w:vAlign w:val="center"/>
          </w:tcPr>
          <w:p w14:paraId="5C0B2DBF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对接内容与落地载体</w:t>
            </w:r>
          </w:p>
        </w:tc>
      </w:tr>
      <w:tr w14:paraId="437AF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0" w:type="dxa"/>
            <w:vAlign w:val="center"/>
          </w:tcPr>
          <w:p w14:paraId="47C06518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岗（岗位）</w:t>
            </w:r>
          </w:p>
        </w:tc>
        <w:tc>
          <w:tcPr>
            <w:tcW w:w="8799" w:type="dxa"/>
            <w:vAlign w:val="center"/>
          </w:tcPr>
          <w:p w14:paraId="70214114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对接工业数据采集技术员、边缘计算运维员、平台运维员岗——以精密制造事业部'台账→告警→采集→报表'岗位任务链为课程情境源</w:t>
            </w:r>
          </w:p>
        </w:tc>
      </w:tr>
      <w:tr w14:paraId="703170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0" w:type="dxa"/>
            <w:vAlign w:val="center"/>
          </w:tcPr>
          <w:p w14:paraId="7701855C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课（课程）</w:t>
            </w:r>
          </w:p>
        </w:tc>
        <w:tc>
          <w:tcPr>
            <w:tcW w:w="8799" w:type="dxa"/>
            <w:vAlign w:val="center"/>
          </w:tcPr>
          <w:p w14:paraId="1EE0F45C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工单0.1-1.5加综合项目Z共12个任务即课程主线，统一挂接'重庆两江智造集团·精密制造事业部'连续剧情</w:t>
            </w:r>
          </w:p>
        </w:tc>
      </w:tr>
      <w:tr w14:paraId="1779B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0" w:type="dxa"/>
            <w:vAlign w:val="center"/>
          </w:tcPr>
          <w:p w14:paraId="3D4FB00E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赛（竞赛）</w:t>
            </w:r>
          </w:p>
        </w:tc>
        <w:tc>
          <w:tcPr>
            <w:tcW w:w="8799" w:type="dxa"/>
            <w:vAlign w:val="center"/>
          </w:tcPr>
          <w:p w14:paraId="0CDB2E80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优秀层任务对标蓝桥杯Python程序设计组与省级程序设计赛；W12综合项目按竞赛评审制组织答辩</w:t>
            </w:r>
          </w:p>
        </w:tc>
      </w:tr>
      <w:tr w14:paraId="4FF465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0" w:type="dxa"/>
            <w:vAlign w:val="center"/>
          </w:tcPr>
          <w:p w14:paraId="2AE8E309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证（证书）</w:t>
            </w:r>
          </w:p>
        </w:tc>
        <w:tc>
          <w:tcPr>
            <w:tcW w:w="8799" w:type="dxa"/>
            <w:vAlign w:val="center"/>
          </w:tcPr>
          <w:p w14:paraId="705BCA97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考核点覆盖1+X Python开发证书大纲与全国计算机等级考试二级Python考点（见下方证书对接细则）</w:t>
            </w:r>
          </w:p>
        </w:tc>
      </w:tr>
      <w:tr w14:paraId="759DD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0" w:type="dxa"/>
            <w:vAlign w:val="center"/>
          </w:tcPr>
          <w:p w14:paraId="4AA0FC73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创（创新）</w:t>
            </w:r>
          </w:p>
        </w:tc>
        <w:tc>
          <w:tcPr>
            <w:tcW w:w="8799" w:type="dxa"/>
            <w:vAlign w:val="center"/>
          </w:tcPr>
          <w:p w14:paraId="0C07F20A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词云故障分析、图像质检日报等小工具鼓励二次创新；入选作品入班级案例库与个人档案袋</w:t>
            </w:r>
          </w:p>
        </w:tc>
      </w:tr>
    </w:tbl>
    <w:p w14:paraId="6B8278C3">
      <w:pPr>
        <w:spacing w:before="0" w:after="0" w:line="594" w:lineRule="exact"/>
      </w:pPr>
    </w:p>
    <w:p w14:paraId="7C5D23A9">
      <w:pPr>
        <w:spacing w:before="0" w:after="0" w:line="594" w:lineRule="exact"/>
      </w:pPr>
      <w:r>
        <w:rPr>
          <w:rFonts w:ascii="Times New Roman" w:hAnsi="Times New Roman" w:eastAsia="黑体"/>
          <w:b/>
          <w:sz w:val="24"/>
        </w:rPr>
        <w:t>证书对接细则：</w:t>
      </w:r>
    </w:p>
    <w:p w14:paraId="0BA698B0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Python开发职业技能等级证书（工信部）</w:t>
      </w:r>
    </w:p>
    <w:p w14:paraId="0BE954AF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AI应用实践职业技能等级证书（工业互联网平台运维方向）</w:t>
      </w:r>
    </w:p>
    <w:p w14:paraId="1C0D3941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企业应用实施工程师证书</w:t>
      </w:r>
    </w:p>
    <w:p w14:paraId="29A8B740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（六）课程思政设计（三融入）</w:t>
      </w:r>
    </w:p>
    <w:p w14:paraId="48566A5E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总目标：工匠精神立码——规范命名、报错必究、版本可溯；做诚实的工程师</w:t>
      </w:r>
    </w:p>
    <w:p w14:paraId="1BA84950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设计融入：12个工单情境取自车间真实痛点（夜班2号机95℃险情→安全生产红线；中台打回脏数据→数据诚信）；“两江智造”载体剧情传递一线劳动者尊严</w:t>
      </w:r>
    </w:p>
    <w:p w14:paraId="64F6C521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环节融入：四步法“模仿”环节要求跟做不走样→标准意识；六步法“检查”环节同桌互查签字→质量共担；每周代码规范率递增目标→持续改进</w:t>
      </w:r>
    </w:p>
    <w:p w14:paraId="2181727B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流程融入：过程性评价80%引导重过程轻突击；组内贡献表如实填报→学术诚信；优秀流程图入班级案例库→劳动成果被尊重</w:t>
      </w:r>
    </w:p>
    <w:p w14:paraId="095D700B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案例映射：W6异常处理“摔了能爬起来还留案发记录”→责任留痕；W8数据清洗“还数据一个清白”→实事求是；W12答辩→工程交付的庄严感</w:t>
      </w:r>
    </w:p>
    <w:p w14:paraId="01624FEB">
      <w:pPr>
        <w:spacing w:before="240" w:after="0" w:line="594" w:lineRule="exact"/>
      </w:pPr>
      <w:r>
        <w:rPr>
          <w:rFonts w:ascii="Times New Roman" w:hAnsi="Times New Roman" w:eastAsia="方正黑体_GBK"/>
          <w:b w:val="0"/>
          <w:sz w:val="32"/>
        </w:rPr>
        <w:t>二、教学目标</w:t>
      </w:r>
    </w:p>
    <w:p w14:paraId="26760954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（一）知识目标</w:t>
      </w:r>
    </w:p>
    <w:p w14:paraId="247B8A9B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1.Python语言基础：基本语法、数据类型、运算符与表达式；控制流逻辑；函数定义与调用。</w:t>
      </w:r>
    </w:p>
    <w:p w14:paraId="23A4EE24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2.面向对象编程：类、对象、属性、方法；继承、多态、封装。</w:t>
      </w:r>
    </w:p>
    <w:p w14:paraId="43298F99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3.数据结构与处理：列表、元组、字典、集合；字符串处理与正则表达式；JSON/CSV解析。</w:t>
      </w:r>
    </w:p>
    <w:p w14:paraId="2F208212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4.第三方库应用：jieba分词、wordcloud词云、Pillow图像处理、reportlab PDF生成。</w:t>
      </w:r>
    </w:p>
    <w:p w14:paraId="0953CBC1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5.文件操作与持久化：文件I/O、数据验证、异常处理、日志。</w:t>
      </w:r>
    </w:p>
    <w:p w14:paraId="410C1799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6.工业网络通信基础：TCP/IP、HTTP、MQTT、Modbus协议概念与Socket编程。</w:t>
      </w:r>
    </w:p>
    <w:p w14:paraId="7B5E40B9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（二）能力目标</w:t>
      </w:r>
    </w:p>
    <w:p w14:paraId="4485A020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1.编程能力：独立编写200-800行规范代码；设计类并实现继承多态；第12周达到PEP 8规范率90%。</w:t>
      </w:r>
    </w:p>
    <w:p w14:paraId="0433104F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2.工具应用：使用jieba/wordcloud/Pillow/reportlab完成文本、图像与报告自动化。</w:t>
      </w:r>
    </w:p>
    <w:p w14:paraId="6A88CB67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3.数据处理：清洗、验证、转换工业数据；解析JSON/CSV；处理异常与缺失值。</w:t>
      </w:r>
    </w:p>
    <w:p w14:paraId="292222E2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4.问题求解：将实际问题转化为程序逻辑；调试排错；自主学习新知识。</w:t>
      </w:r>
    </w:p>
    <w:p w14:paraId="558102A7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5.工业应用：编写模拟工业数据采集程序；设计数据处理流程；生成数据分析报告。</w:t>
      </w:r>
    </w:p>
    <w:p w14:paraId="268D6505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（三）素质目标</w:t>
      </w:r>
    </w:p>
    <w:p w14:paraId="0FFA4B92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1.职业素养：严谨的编码习惯与工匠精神；数据安全与隐私保护意识；工程伦理。</w:t>
      </w:r>
    </w:p>
    <w:p w14:paraId="30B92E30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2.创新意识：第三方库创新应用；自主探索；面对复杂问题的分析与创新。</w:t>
      </w:r>
    </w:p>
    <w:p w14:paraId="7379F7E4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3.系统思维：对象设计思想；代码复用与模块化；全局观念。</w:t>
      </w:r>
    </w:p>
    <w:p w14:paraId="3AB2B29C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（四）研究与创新</w:t>
      </w:r>
    </w:p>
    <w:p w14:paraId="02EB209A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1.学生研究方向：工业数据采集创新方案、Python在轻量化应用中的创新、新型第三方库在工业中的应用探索。</w:t>
      </w:r>
    </w:p>
    <w:p w14:paraId="6A59F55F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2.创新成果形式：创新代码实现、创意项目设计、技术总结报告。</w:t>
      </w:r>
    </w:p>
    <w:p w14:paraId="6EA06A4D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（五）可持续发展</w:t>
      </w:r>
    </w:p>
    <w:p w14:paraId="4C45CCCC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1.绿色开发：高效代码意识，减少资源消耗，优化算法降低功耗。</w:t>
      </w:r>
    </w:p>
    <w:p w14:paraId="2A3FF90A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2.数据安全与隐私：工业数据安全防护；了解GDPR等法规概念；负责任的数据处理态度。</w:t>
      </w:r>
    </w:p>
    <w:p w14:paraId="3DC714F1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3.长期学习：终身学习习惯；追踪Python生态；个人技术博客与知识积累。</w:t>
      </w:r>
    </w:p>
    <w:p w14:paraId="413A00E1">
      <w:pPr>
        <w:spacing w:before="240" w:after="0" w:line="594" w:lineRule="exact"/>
      </w:pPr>
      <w:r>
        <w:rPr>
          <w:rFonts w:ascii="Times New Roman" w:hAnsi="Times New Roman" w:eastAsia="方正黑体_GBK"/>
          <w:b w:val="0"/>
          <w:sz w:val="32"/>
        </w:rPr>
        <w:t>三、教学内容</w:t>
      </w:r>
    </w:p>
    <w:p w14:paraId="648D9CEA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（一）教学方式</w:t>
      </w:r>
    </w:p>
    <w:p w14:paraId="0C213093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每课时40分钟；每周4课时（160分钟，两次课）。“四步法筑基→六步法渐进”双轨制（面向零基础新生）：第1-6周采用“讲解—示范—模仿—练习”四步法（每课时40分钟=讲10分钟→演10分钟→模仿与练习20分钟）；第7-12周过渡到德国双元制完整六步法（“资讯·计划”以线上导学单课前完成，课堂聚焦决策→实施→检查→评价）。</w:t>
      </w:r>
    </w:p>
    <w:p w14:paraId="73684583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分层教学（A快速班/B常规班/C补强班）+及时反馈（工单24小时内反馈）；费曼学习法（ABCD层师徒制）；小步成功设计（每次课开课20分钟内人人产出可运行代码）。</w:t>
      </w:r>
    </w:p>
    <w:p w14:paraId="6BCBAAE1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（二）教学任务与工作内容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8"/>
        <w:gridCol w:w="3028"/>
        <w:gridCol w:w="3028"/>
      </w:tblGrid>
      <w:tr w14:paraId="2BF36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  <w:shd w:val="clear" w:color="auto" w:fill="EDEDED"/>
            <w:vAlign w:val="center"/>
          </w:tcPr>
          <w:p w14:paraId="08B013DA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模块/任务</w:t>
            </w:r>
          </w:p>
        </w:tc>
        <w:tc>
          <w:tcPr>
            <w:tcW w:w="1900" w:type="dxa"/>
            <w:shd w:val="clear" w:color="auto" w:fill="EDEDED"/>
            <w:vAlign w:val="center"/>
          </w:tcPr>
          <w:p w14:paraId="0B40AEAE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周次·学时</w:t>
            </w:r>
          </w:p>
        </w:tc>
        <w:tc>
          <w:tcPr>
            <w:tcW w:w="6199" w:type="dxa"/>
            <w:shd w:val="clear" w:color="auto" w:fill="EDEDED"/>
            <w:vAlign w:val="center"/>
          </w:tcPr>
          <w:p w14:paraId="217A0A2F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学习内容与工单项目</w:t>
            </w:r>
          </w:p>
        </w:tc>
      </w:tr>
      <w:tr w14:paraId="344B1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  <w:vAlign w:val="center"/>
          </w:tcPr>
          <w:p w14:paraId="1AF23C94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模块0 Python基础与面向对象</w:t>
            </w:r>
            <w:r>
              <w:rPr>
                <w:rFonts w:ascii="Times New Roman" w:hAnsi="Times New Roman" w:eastAsia="方正仿宋_GBK"/>
                <w:b w:val="0"/>
                <w:sz w:val="24"/>
              </w:rPr>
              <w:br/>
            </w:r>
            <w:r>
              <w:rPr>
                <w:rFonts w:ascii="Times New Roman" w:hAnsi="Times New Roman" w:eastAsia="方正仿宋_GBK"/>
                <w:b w:val="0"/>
                <w:sz w:val="24"/>
              </w:rPr>
              <w:t>任务0.1 环境与数据类型</w:t>
            </w:r>
            <w:r>
              <w:rPr>
                <w:rFonts w:ascii="Times New Roman" w:hAnsi="Times New Roman" w:eastAsia="方正仿宋_GBK"/>
                <w:b w:val="0"/>
                <w:sz w:val="24"/>
              </w:rPr>
              <w:br/>
            </w:r>
            <w:r>
              <w:rPr>
                <w:rFonts w:ascii="Times New Roman" w:hAnsi="Times New Roman" w:eastAsia="方正仿宋_GBK"/>
                <w:b w:val="0"/>
                <w:sz w:val="24"/>
              </w:rPr>
              <w:t>任务0.2 控制流与函数(告警系统)</w:t>
            </w:r>
            <w:r>
              <w:rPr>
                <w:rFonts w:ascii="Times New Roman" w:hAnsi="Times New Roman" w:eastAsia="方正仿宋_GBK"/>
                <w:b w:val="0"/>
                <w:sz w:val="24"/>
              </w:rPr>
              <w:br/>
            </w:r>
            <w:r>
              <w:rPr>
                <w:rFonts w:ascii="Times New Roman" w:hAnsi="Times New Roman" w:eastAsia="方正仿宋_GBK"/>
                <w:b w:val="0"/>
                <w:sz w:val="24"/>
              </w:rPr>
              <w:t>任务0.3 类与对象</w:t>
            </w:r>
            <w:r>
              <w:rPr>
                <w:rFonts w:ascii="Times New Roman" w:hAnsi="Times New Roman" w:eastAsia="方正仿宋_GBK"/>
                <w:b w:val="0"/>
                <w:sz w:val="24"/>
              </w:rPr>
              <w:br/>
            </w:r>
            <w:r>
              <w:rPr>
                <w:rFonts w:ascii="Times New Roman" w:hAnsi="Times New Roman" w:eastAsia="方正仿宋_GBK"/>
                <w:b w:val="0"/>
                <w:sz w:val="24"/>
              </w:rPr>
              <w:t>任务0.4 继承与多态</w:t>
            </w:r>
            <w:r>
              <w:rPr>
                <w:rFonts w:ascii="Times New Roman" w:hAnsi="Times New Roman" w:eastAsia="方正仿宋_GBK"/>
                <w:b w:val="0"/>
                <w:sz w:val="24"/>
              </w:rPr>
              <w:br/>
            </w:r>
            <w:r>
              <w:rPr>
                <w:rFonts w:ascii="Times New Roman" w:hAnsi="Times New Roman" w:eastAsia="方正仿宋_GBK"/>
                <w:b w:val="0"/>
                <w:sz w:val="24"/>
              </w:rPr>
              <w:t>任务0.5 异常处理与日志</w:t>
            </w:r>
          </w:p>
        </w:tc>
        <w:tc>
          <w:tcPr>
            <w:tcW w:w="1900" w:type="dxa"/>
            <w:vAlign w:val="center"/>
          </w:tcPr>
          <w:p w14:paraId="077C93F9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第1-6周</w:t>
            </w:r>
            <w:r>
              <w:rPr>
                <w:rFonts w:ascii="Times New Roman" w:hAnsi="Times New Roman" w:eastAsia="方正仿宋_GBK"/>
                <w:b w:val="0"/>
                <w:sz w:val="24"/>
              </w:rPr>
              <w:br/>
            </w:r>
            <w:r>
              <w:rPr>
                <w:rFonts w:ascii="Times New Roman" w:hAnsi="Times New Roman" w:eastAsia="方正仿宋_GBK"/>
                <w:b w:val="0"/>
                <w:sz w:val="24"/>
              </w:rPr>
              <w:t>24课时(12理12实)</w:t>
            </w:r>
          </w:p>
        </w:tc>
        <w:tc>
          <w:tcPr>
            <w:tcW w:w="6199" w:type="dxa"/>
            <w:vAlign w:val="center"/>
          </w:tcPr>
          <w:p w14:paraId="7CC9C10C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环境搭建、变量与数据类型；条件判断、循环与函数；设备类设计与继承体系；异常捕获与日志。工单：设备参数初始化、工业实时告警系统Ⅰ/Ⅱ、设备类设计、设备继承体系、健壮采集程序（各5%）。第6周中期诊断。</w:t>
            </w:r>
          </w:p>
        </w:tc>
      </w:tr>
      <w:tr w14:paraId="33ECB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  <w:vAlign w:val="center"/>
          </w:tcPr>
          <w:p w14:paraId="22F676F1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模块1 数据结构、第三方库与网络编程</w:t>
            </w:r>
            <w:r>
              <w:rPr>
                <w:rFonts w:ascii="Times New Roman" w:hAnsi="Times New Roman" w:eastAsia="方正仿宋_GBK"/>
                <w:b w:val="0"/>
                <w:sz w:val="24"/>
              </w:rPr>
              <w:br/>
            </w:r>
            <w:r>
              <w:rPr>
                <w:rFonts w:ascii="Times New Roman" w:hAnsi="Times New Roman" w:eastAsia="方正仿宋_GBK"/>
                <w:b w:val="0"/>
                <w:sz w:val="24"/>
              </w:rPr>
              <w:t>任务1.1 容器与正则</w:t>
            </w:r>
            <w:r>
              <w:rPr>
                <w:rFonts w:ascii="Times New Roman" w:hAnsi="Times New Roman" w:eastAsia="方正仿宋_GBK"/>
                <w:b w:val="0"/>
                <w:sz w:val="24"/>
              </w:rPr>
              <w:br/>
            </w:r>
            <w:r>
              <w:rPr>
                <w:rFonts w:ascii="Times New Roman" w:hAnsi="Times New Roman" w:eastAsia="方正仿宋_GBK"/>
                <w:b w:val="0"/>
                <w:sz w:val="24"/>
              </w:rPr>
              <w:t>任务1.2 文件I/O与JSON</w:t>
            </w:r>
            <w:r>
              <w:rPr>
                <w:rFonts w:ascii="Times New Roman" w:hAnsi="Times New Roman" w:eastAsia="方正仿宋_GBK"/>
                <w:b w:val="0"/>
                <w:sz w:val="24"/>
              </w:rPr>
              <w:br/>
            </w:r>
            <w:r>
              <w:rPr>
                <w:rFonts w:ascii="Times New Roman" w:hAnsi="Times New Roman" w:eastAsia="方正仿宋_GBK"/>
                <w:b w:val="0"/>
                <w:sz w:val="24"/>
              </w:rPr>
              <w:t>任务1.3 jieba与词云</w:t>
            </w:r>
            <w:r>
              <w:rPr>
                <w:rFonts w:ascii="Times New Roman" w:hAnsi="Times New Roman" w:eastAsia="方正仿宋_GBK"/>
                <w:b w:val="0"/>
                <w:sz w:val="24"/>
              </w:rPr>
              <w:br/>
            </w:r>
            <w:r>
              <w:rPr>
                <w:rFonts w:ascii="Times New Roman" w:hAnsi="Times New Roman" w:eastAsia="方正仿宋_GBK"/>
                <w:b w:val="0"/>
                <w:sz w:val="24"/>
              </w:rPr>
              <w:t>任务1.4 Pillow与reportlab</w:t>
            </w:r>
            <w:r>
              <w:rPr>
                <w:rFonts w:ascii="Times New Roman" w:hAnsi="Times New Roman" w:eastAsia="方正仿宋_GBK"/>
                <w:b w:val="0"/>
                <w:sz w:val="24"/>
              </w:rPr>
              <w:br/>
            </w:r>
            <w:r>
              <w:rPr>
                <w:rFonts w:ascii="Times New Roman" w:hAnsi="Times New Roman" w:eastAsia="方正仿宋_GBK"/>
                <w:b w:val="0"/>
                <w:sz w:val="24"/>
              </w:rPr>
              <w:t>任务1.5 网络编程与采集</w:t>
            </w:r>
            <w:r>
              <w:rPr>
                <w:rFonts w:ascii="Times New Roman" w:hAnsi="Times New Roman" w:eastAsia="方正仿宋_GBK"/>
                <w:b w:val="0"/>
                <w:sz w:val="24"/>
              </w:rPr>
              <w:br/>
            </w:r>
            <w:r>
              <w:rPr>
                <w:rFonts w:ascii="Times New Roman" w:hAnsi="Times New Roman" w:eastAsia="方正仿宋_GBK"/>
                <w:b w:val="0"/>
                <w:sz w:val="24"/>
              </w:rPr>
              <w:t>综合项目</w:t>
            </w:r>
          </w:p>
        </w:tc>
        <w:tc>
          <w:tcPr>
            <w:tcW w:w="1900" w:type="dxa"/>
            <w:vAlign w:val="center"/>
          </w:tcPr>
          <w:p w14:paraId="1A8F0295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第7-12周</w:t>
            </w:r>
            <w:r>
              <w:rPr>
                <w:rFonts w:ascii="Times New Roman" w:hAnsi="Times New Roman" w:eastAsia="方正仿宋_GBK"/>
                <w:b w:val="0"/>
                <w:sz w:val="24"/>
              </w:rPr>
              <w:br/>
            </w:r>
            <w:r>
              <w:rPr>
                <w:rFonts w:ascii="Times New Roman" w:hAnsi="Times New Roman" w:eastAsia="方正仿宋_GBK"/>
                <w:b w:val="0"/>
                <w:sz w:val="24"/>
              </w:rPr>
              <w:t>24课时(12理12实)</w:t>
            </w:r>
          </w:p>
        </w:tc>
        <w:tc>
          <w:tcPr>
            <w:tcW w:w="6199" w:type="dxa"/>
            <w:vAlign w:val="center"/>
          </w:tcPr>
          <w:p w14:paraId="0F39F150">
            <w:pPr>
              <w:spacing w:after="0" w:line="360" w:lineRule="exact"/>
            </w:pPr>
            <w:r>
              <w:rPr>
                <w:rFonts w:ascii="Times New Roman" w:hAnsi="Times New Roman" w:eastAsia="方正仿宋_GBK"/>
                <w:b w:val="0"/>
                <w:sz w:val="24"/>
              </w:rPr>
              <w:t>容器与正则解析；CSV/JSON清洗；故障分析词云报告；图像标注与PDF日报；Modbus+MQTT数据采集（本地虚拟产线离线环境）。工单：格式转换工具、文件处理系统、故障分析报告、图像与报告、数据采集系统（各5%）；第12周综合项目答辩（20%）。</w:t>
            </w:r>
          </w:p>
        </w:tc>
      </w:tr>
    </w:tbl>
    <w:p w14:paraId="1E888A05">
      <w:pPr>
        <w:spacing w:before="0" w:after="0" w:line="594" w:lineRule="exact"/>
      </w:pPr>
    </w:p>
    <w:p w14:paraId="6B5AADFE">
      <w:pPr>
        <w:spacing w:before="240" w:after="0" w:line="594" w:lineRule="exact"/>
      </w:pPr>
      <w:r>
        <w:rPr>
          <w:rFonts w:ascii="Times New Roman" w:hAnsi="Times New Roman" w:eastAsia="方正黑体_GBK"/>
          <w:b w:val="0"/>
          <w:sz w:val="32"/>
        </w:rPr>
        <w:t>四、课程实施保障条件</w:t>
      </w:r>
    </w:p>
    <w:p w14:paraId="4C46764D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（一）实训（实习）条件</w:t>
      </w:r>
    </w:p>
    <w:p w14:paraId="7F0007E2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1.软件开发实训室：30台以上计算机（i5/i7、8GB内存、256GB SSD），支持局域网通信。</w:t>
      </w:r>
    </w:p>
    <w:p w14:paraId="36CF93EA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2.软件环境：Python 3.8+、PyCharm CE/PyCharm；jieba、wordcloud、Pillow、reportlab、paho-mqtt、pymodbus（离线whl包与中文字体随包提供）。</w:t>
      </w:r>
    </w:p>
    <w:p w14:paraId="2414E165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3.虚拟产线：纯Python本地Modbus模拟器（3台PLC）与MQTT代理，无需外网与Docker。</w:t>
      </w:r>
    </w:p>
    <w:p w14:paraId="5702673A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（二）教学团队</w:t>
      </w:r>
    </w:p>
    <w:p w14:paraId="21730465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1.课程负责人1名（讲师及以上，3年以上Python开发经验）；主讲教师1-2名；实训指导教师1名。</w:t>
      </w:r>
    </w:p>
    <w:p w14:paraId="4B98C760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2.教师素质：具有工业互联网应用背景或校企合作经验；能实时代码演示与问题排查。</w:t>
      </w:r>
    </w:p>
    <w:p w14:paraId="1205C7C0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3.教师发展：每年2次以上行业培训；每学年1次以上企业实践；发表教学改革论文或案例。</w:t>
      </w:r>
    </w:p>
    <w:p w14:paraId="3C0D3F1B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（三）学习资源</w:t>
      </w:r>
    </w:p>
    <w:p w14:paraId="46BAB4E7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1.教学资源（已备）：48个授课PPT之24个（每2课时1个）、12个工单任务书与代码框架、Jupyter版实训手册、报错翻译对照表（人手一份）、虚拟产线模拟器（已实机验证）、必答题库（四类40题）、微课脚本与录课计划。、教师版《多解法手册》+solutions_multi_py.py（12工单×当周语法vs Pythonic双解，8项互验ALL PASS——A层/B层选型教学素材）。</w:t>
      </w:r>
    </w:p>
    <w:p w14:paraId="0C357FC1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2.参考资源（真实可用）：Python官方文档（docs.python.org，在线）；《Python编程从入门到精通》《Fluent Python》（图书馆配书）；廖雪峰Python教程等公开资源。</w:t>
      </w:r>
    </w:p>
    <w:p w14:paraId="43E2EE89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3.工业资源（依托校企合作落实）：企业导师评审（开课前聘任）、脱敏数据集（授权后启用，课内以模拟器数据替代）、虚拟产线工具（已随包）。</w:t>
      </w:r>
    </w:p>
    <w:p w14:paraId="2E6CA6AE">
      <w:pPr>
        <w:spacing w:before="240" w:after="0" w:line="594" w:lineRule="exact"/>
      </w:pPr>
      <w:r>
        <w:rPr>
          <w:rFonts w:ascii="Times New Roman" w:hAnsi="Times New Roman" w:eastAsia="方正黑体_GBK"/>
          <w:b w:val="0"/>
          <w:sz w:val="32"/>
        </w:rPr>
        <w:t>五、学习评价</w:t>
      </w:r>
    </w:p>
    <w:p w14:paraId="4084BD96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（一）课程评价</w:t>
      </w:r>
    </w:p>
    <w:p w14:paraId="05C06B9D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综合成绩=平时成绩（80%）+期末考试（20%）；平时成绩=出勤与表现（10%）+课中任务（20%）+工单任务（50%）。</w:t>
      </w:r>
    </w:p>
    <w:p w14:paraId="53C20C46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出勤：无缺勤100分，迟到-5/次，旷课-20/次；课中任务与工单按基础分+加分项量化；期末为综合项目答辩。</w:t>
      </w:r>
    </w:p>
    <w:p w14:paraId="69D6D393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代码规范率渐进目标：第1-3周≥70%、4-7周≥75-80%、8-10周≥85%、11-12周≥90%；工单采用D/C/B/A四级量表，24小时内反馈。</w:t>
      </w:r>
    </w:p>
    <w:p w14:paraId="504C3777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等级划分：A（优）90-100；B（优良）80-89；C（良）70-79；D（合格）60-69；E（不合格）&lt;60。</w:t>
      </w:r>
    </w:p>
    <w:p w14:paraId="0BCF0B6F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（二）通过标准</w:t>
      </w:r>
    </w:p>
    <w:p w14:paraId="2BE53C0E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1.达到学习目标所列要求；缺课不超过10%（迟到早退3次视为缺课1次）。</w:t>
      </w:r>
    </w:p>
    <w:p w14:paraId="1A939D0D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2.工单任务完成度及格（D级）及以上；综合成绩60分及以上。</w:t>
      </w:r>
    </w:p>
    <w:p w14:paraId="3FF6A88D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3.困难学生支持：第2-3周识别→第4周起补强计划（学习伙伴+每周2次答疑）→第6周中期诊断调整。</w:t>
      </w:r>
    </w:p>
    <w:p w14:paraId="7523C4B3">
      <w:pPr>
        <w:spacing w:before="0" w:after="0" w:line="594" w:lineRule="exact"/>
      </w:pPr>
      <w:r>
        <w:rPr>
          <w:rFonts w:ascii="Times New Roman" w:hAnsi="Times New Roman" w:eastAsia="方正楷体_GBK"/>
          <w:b w:val="0"/>
          <w:sz w:val="32"/>
        </w:rPr>
        <w:t>（三）质量保障与持续改进</w:t>
      </w:r>
    </w:p>
    <w:p w14:paraId="068EABD8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课程质量监控三级闭环：学生评教（每课次）+ 督导/同行听课（每学期≥1次，指标含'授课计划完整规范''教学内容符合课程标准'）+ 毕业生/企业反馈（每年）</w:t>
      </w:r>
    </w:p>
    <w:p w14:paraId="5231FACA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数据驱动的持续改进：过程性成绩与工单达标率按周分析，连续两次低于70%达标的任务触发教学策略调整并记录《课程诊改台账》</w:t>
      </w:r>
    </w:p>
    <w:p w14:paraId="541964AF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课程标准年度修订：结合1+X证书大纲更新与两江智造载体案例库迭代，每年暑期修订一次并经二级学院教学指导委员会审定</w:t>
      </w:r>
    </w:p>
    <w:p w14:paraId="4E9507DD">
      <w:pPr>
        <w:spacing w:before="0" w:after="0" w:line="594" w:lineRule="exact"/>
        <w:ind w:firstLine="640"/>
      </w:pPr>
      <w:r>
        <w:rPr>
          <w:rFonts w:ascii="Times New Roman" w:hAnsi="Times New Roman" w:eastAsia="方正仿宋_GBK"/>
          <w:b w:val="0"/>
          <w:sz w:val="32"/>
        </w:rPr>
        <w:t>教学文件一致性核查：课程标准—授课计划表—教学方案—工单四层文件每学期开课前交叉校验（课时口径/考核权重/工单号全集）</w:t>
      </w:r>
    </w:p>
    <w:p>
      <w:r>
        <w:rPr>
          <w:rFonts w:ascii="宋体" w:hAnsi="宋体" w:eastAsia="宋体"/>
          <w:b/>
          <w:sz w:val="24"/>
        </w:rPr>
        <w:t>补充条款A：安全规范一票否决（红线条款）</w:t>
      </w:r>
    </w:p>
    <w:p>
      <w:r>
        <w:rPr>
          <w:rFonts w:ascii="宋体" w:hAnsi="宋体" w:eastAsia="宋体"/>
          <w:b w:val="0"/>
          <w:sz w:val="20"/>
        </w:rPr>
        <w:t>本条款与「五、学习评价」联动生效：下列任一红线一经查实，对应评价项直接计0，且综合成绩判为不及格，不因其他项高分而抵消。</w:t>
      </w:r>
    </w:p>
    <w:p>
      <w:r>
        <w:rPr>
          <w:rFonts w:ascii="宋体" w:hAnsi="宋体" w:eastAsia="宋体"/>
          <w:b w:val="0"/>
          <w:sz w:val="20"/>
        </w:rPr>
        <w:t>红线一（安全准入缺失）：实训开始前未完成任务单「五、安全规范重申」五项逐条打勾并由学生本人签字确认的，一律不得通电上机操作；擅自操作者当次课过程性得分计0，该工单按未提交处理。</w:t>
      </w:r>
    </w:p>
    <w:p>
      <w:r>
        <w:rPr>
          <w:rFonts w:ascii="宋体" w:hAnsi="宋体" w:eastAsia="宋体"/>
          <w:b w:val="0"/>
          <w:sz w:val="20"/>
        </w:rPr>
        <w:t>红线二（带电违规作业）：未断电即插拔计算机电源线、网线或交换机端口，私自更换工位插排、超功率接入电烙铁等大功率用电器，或擅自合闸送电的，立即中止实训并移出工位，综合成绩判为不及格。</w:t>
      </w:r>
    </w:p>
    <w:p>
      <w:r>
        <w:rPr>
          <w:rFonts w:ascii="宋体" w:hAnsi="宋体" w:eastAsia="宋体"/>
          <w:b w:val="0"/>
          <w:sz w:val="20"/>
        </w:rPr>
        <w:t>红线三（异常未停止）：遇到冒烟、异味、异响、打火、外壳带电感或设备发热异常时，未立即停止操作、未按急停或断开本工位电源并报告指导教师而继续作业的，中止实训并计入安全违规台账。</w:t>
      </w:r>
    </w:p>
    <w:p>
      <w:r>
        <w:rPr>
          <w:rFonts w:ascii="宋体" w:hAnsi="宋体" w:eastAsia="宋体"/>
          <w:b w:val="0"/>
          <w:sz w:val="20"/>
        </w:rPr>
        <w:t>红线四（数据与诚信违规）：未经授权拷贝、外传企业真实数据或未脱敏样本，将涉密材料上传公网仓库，伪造运行截图、代打卡、伪造他人Git提交与组内贡献记录的，中止实训、该项计0并报送学院处理。</w:t>
      </w:r>
    </w:p>
    <w:p>
      <w:r>
        <w:rPr>
          <w:rFonts w:ascii="宋体" w:hAnsi="宋体" w:eastAsia="宋体"/>
          <w:b w:val="0"/>
          <w:sz w:val="20"/>
        </w:rPr>
        <w:t>红线五（6S与设备爱护缺失）：实训结束不执行整理、整顿、清扫、清洁、素养、安全（线缆不归位、主机不关机、屏幕不关闭、工位不清空、门窗不锁），经提醒仍不改正或造成设备、数据损坏的，中止其实训资格并要求赔偿与重修。</w:t>
      </w:r>
    </w:p>
    <w:p>
      <w:r>
        <w:rPr>
          <w:rFonts w:ascii="宋体" w:hAnsi="宋体" w:eastAsia="宋体"/>
          <w:b w:val="0"/>
          <w:sz w:val="20"/>
        </w:rPr>
        <w:t>一票否决与学生工单「安全规范重申」五项打勾栏、教师签字栏逐条对应，任一环节缺签字即视为未完成安全准入。</w:t>
      </w:r>
    </w:p>
    <w:p>
      <w:r>
        <w:rPr>
          <w:rFonts w:ascii="宋体" w:hAnsi="宋体" w:eastAsia="宋体"/>
          <w:b/>
          <w:sz w:val="24"/>
        </w:rPr>
        <w:t>补充条款B：学时口径一致性声明</w:t>
      </w:r>
    </w:p>
    <w:p>
      <w:r>
        <w:rPr>
          <w:rFonts w:ascii="宋体" w:hAnsi="宋体" w:eastAsia="宋体"/>
          <w:b w:val="0"/>
          <w:sz w:val="20"/>
        </w:rPr>
        <w:t>本课程总学时 48（理论 24 ＋ 实训 24），学分 3。本声明与课程教学设计、授课计划表三处口径一致；任一处学时或学分与本条不符，以本课程标准为准并回改另两件。</w:t>
      </w:r>
    </w:p>
    <w:p>
      <w:r>
        <w:rPr>
          <w:rFonts w:ascii="宋体" w:hAnsi="宋体" w:eastAsia="宋体"/>
          <w:b w:val="0"/>
          <w:sz w:val="20"/>
        </w:rPr>
        <w:t>核验式：理论24 ＋ 实训24 ＝ 48；闭合。</w:t>
      </w:r>
    </w:p>
    <w:sectPr>
      <w:footerReference r:id="rId5" w:type="default"/>
      <w:pgSz w:w="11906" w:h="16838"/>
      <w:pgMar w:top="1411" w:right="1411" w:bottom="1411" w:left="141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AC7CE4EA-FF63-461B-B08E-37EFA97492D5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2" w:fontKey="{12BC276E-93B5-4421-A531-77DD7FAD3479}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  <w:embedRegular r:id="rId3" w:fontKey="{2D0FEE7F-4CEB-4954-B0A9-07F81FEAE494}"/>
  </w:font>
  <w:font w:name="方正黑体_GBK">
    <w:panose1 w:val="02010600010101010101"/>
    <w:charset w:val="86"/>
    <w:family w:val="auto"/>
    <w:pitch w:val="default"/>
    <w:sig w:usb0="00000001" w:usb1="080E0000" w:usb2="00000000" w:usb3="00000000" w:csb0="00040000" w:csb1="00000000"/>
    <w:embedRegular r:id="rId4" w:fontKey="{98AFA315-2E88-4A79-9259-034CBDCC1964}"/>
  </w:font>
  <w:font w:name="方正楷体_GBK">
    <w:panose1 w:val="02000000000000000000"/>
    <w:charset w:val="86"/>
    <w:family w:val="auto"/>
    <w:pitch w:val="default"/>
    <w:sig w:usb0="800002BF" w:usb1="38CF7CFA" w:usb2="00000016" w:usb3="00000000" w:csb0="00040000" w:csb1="00000000"/>
    <w:embedRegular r:id="rId5" w:fontKey="{24F8E4C3-D6C1-4C61-A710-7F9D483AD84D}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6" w:fontKey="{ECB90024-F770-4F7E-BB8E-781B41C1CA50}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150D39">
    <w:pPr>
      <w:pStyle w:val="24"/>
      <w:jc w:val="center"/>
    </w:pPr>
    <w:r>
      <w:rPr>
        <w:rFonts w:ascii="Times New Roman" w:hAnsi="Times New Roman" w:eastAsia="宋体"/>
        <w:b w:val="0"/>
        <w:sz w:val="28"/>
      </w:rPr>
      <w:t xml:space="preserve">- </w:t>
    </w:r>
    <w:r>
      <w:rPr>
        <w:rFonts w:ascii="Times New Roman" w:hAnsi="Times New Roman" w:eastAsia="宋体"/>
        <w:b w:val="0"/>
        <w:sz w:val="28"/>
      </w:rPr>
      <w:fldChar w:fldCharType="begin"/>
    </w:r>
    <w:r>
      <w:rPr>
        <w:rFonts w:ascii="Times New Roman" w:hAnsi="Times New Roman" w:eastAsia="宋体"/>
        <w:b w:val="0"/>
        <w:sz w:val="28"/>
      </w:rPr>
      <w:instrText xml:space="preserve"> PAGE \* MERGEFORMAT </w:instrText>
    </w:r>
    <w:r>
      <w:rPr>
        <w:rFonts w:ascii="Times New Roman" w:hAnsi="Times New Roman" w:eastAsia="宋体"/>
        <w:b w:val="0"/>
        <w:sz w:val="28"/>
      </w:rPr>
      <w:fldChar w:fldCharType="end"/>
    </w:r>
    <w:r>
      <w:rPr>
        <w:rFonts w:ascii="Times New Roman" w:hAnsi="Times New Roman" w:eastAsia="宋体"/>
        <w:b w:val="0"/>
        <w:sz w:val="28"/>
      </w:rPr>
      <w:t xml:space="preserve"> -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1292240"/>
    <w:rsid w:val="6DF23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4143</Words>
  <Characters>4840</Characters>
  <Lines>0</Lines>
  <Paragraphs>0</Paragraphs>
  <TotalTime>0</TotalTime>
  <ScaleCrop>false</ScaleCrop>
  <LinksUpToDate>false</LinksUpToDate>
  <CharactersWithSpaces>4988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高职高专教学文件</cp:category>
  <dcterms:created xsi:type="dcterms:W3CDTF">2026-09-11T00:00:00Z</dcterms:created>
  <dc:creator>工业互联网应用专业教学资源库</dc:creator>
  <dc:description>generated by python-docx</dc:description>
  <cp:keywords>两江智造;Python编程基础;岗课赛证创;课程思政;双创中心302;多解法</cp:keywords>
  <cp:lastModifiedBy>天琼恩泽</cp:lastModifiedBy>
  <dcterms:modified xsi:type="dcterms:W3CDTF">2026-10-17T02:35:10Z</dcterms:modified>
  <dc:title>工业互联网专业《Python编程基础》课程标准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eyJoZGlkIjoiMzU3NjE2NzQ2NzExMzg3YmE1Yjc3YjQyMTExYzg3M2IiLCJ1c2VySWQiOiIyNDAzNTIzMSJ9</vt:lpwstr>
  </property>
  <property fmtid="{D5CDD505-2E9C-101B-9397-08002B2CF9AE}" pid="3" name="KSOProductBuildVer">
    <vt:lpwstr>2052-12.1.0.29158</vt:lpwstr>
  </property>
  <property fmtid="{D5CDD505-2E9C-101B-9397-08002B2CF9AE}" pid="4" name="ICV">
    <vt:lpwstr>1F43C0C319CF4D06A1B8820BB99BAB3F_12</vt:lpwstr>
  </property>
</Properties>
</file>