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94" w:lineRule="exact" w:before="1440" w:after="0"/>
        <w:jc w:val="center"/>
      </w:pPr>
      <w:r>
        <w:rPr>
          <w:rFonts w:ascii="Times New Roman" w:hAnsi="Times New Roman" w:eastAsia="宋体"/>
          <w:b w:val="0"/>
          <w:sz w:val="72"/>
        </w:rPr>
        <w:t>《Python编程基础》</w:t>
      </w:r>
    </w:p>
    <w:p>
      <w:pPr>
        <w:spacing w:line="594" w:lineRule="exact" w:before="0" w:after="0"/>
        <w:jc w:val="center"/>
      </w:pPr>
      <w:r>
        <w:rPr>
          <w:rFonts w:ascii="Times New Roman" w:hAnsi="Times New Roman" w:eastAsia="宋体"/>
          <w:b w:val="0"/>
          <w:sz w:val="72"/>
        </w:rPr>
        <w:t>课程标准</w:t>
      </w:r>
    </w:p>
    <w:p>
      <w:pPr>
        <w:spacing w:line="594" w:lineRule="exact" w:before="0" w:after="0"/>
      </w:pPr>
      <w:r>
        <w:rPr>
          <w:rFonts w:ascii="Times New Roman" w:hAnsi="Times New Roman" w:eastAsia="方正仿宋_GBK"/>
          <w:b w:val="0"/>
          <w:sz w:val="32"/>
        </w:rPr>
      </w:r>
    </w:p>
    <w:p>
      <w:pPr>
        <w:spacing w:line="594" w:lineRule="exact" w:before="480" w:after="0"/>
      </w:pPr>
      <w:r>
        <w:rPr>
          <w:rFonts w:ascii="Times New Roman" w:hAnsi="Times New Roman" w:eastAsia="黑体"/>
          <w:b w:val="0"/>
          <w:sz w:val="36"/>
        </w:rPr>
        <w:t xml:space="preserve">部    门： 智能控制学院        </w:t>
      </w:r>
    </w:p>
    <w:p>
      <w:pPr>
        <w:spacing w:line="594" w:lineRule="exact" w:before="480" w:after="0"/>
      </w:pPr>
      <w:r>
        <w:rPr>
          <w:rFonts w:ascii="Times New Roman" w:hAnsi="Times New Roman" w:eastAsia="黑体"/>
          <w:b w:val="0"/>
          <w:sz w:val="36"/>
        </w:rPr>
        <w:t xml:space="preserve">编制依据： 本专业人才培养方案；职业教育国家教学标准体系（含2025年修订版专业教学标准，高职专科'工业互联网技术'专业可对照）        </w:t>
      </w:r>
    </w:p>
    <w:p>
      <w:pPr>
        <w:spacing w:line="594" w:lineRule="exact" w:before="480" w:after="0"/>
      </w:pPr>
      <w:r>
        <w:rPr>
          <w:rFonts w:ascii="Times New Roman" w:hAnsi="Times New Roman" w:eastAsia="黑体"/>
          <w:b w:val="0"/>
          <w:sz w:val="36"/>
        </w:rPr>
        <w:t xml:space="preserve">制    订： 工业互联网应用专业教学团队        </w:t>
      </w:r>
    </w:p>
    <w:p>
      <w:pPr>
        <w:spacing w:line="594" w:lineRule="exact" w:before="480" w:after="0"/>
      </w:pPr>
      <w:r>
        <w:rPr>
          <w:rFonts w:ascii="Times New Roman" w:hAnsi="Times New Roman" w:eastAsia="黑体"/>
          <w:b w:val="0"/>
          <w:sz w:val="36"/>
        </w:rPr>
        <w:t xml:space="preserve">课程负责人：                    </w:t>
      </w:r>
    </w:p>
    <w:p>
      <w:pPr>
        <w:spacing w:line="594" w:lineRule="exact" w:before="480" w:after="0"/>
      </w:pPr>
      <w:r>
        <w:rPr>
          <w:rFonts w:ascii="Times New Roman" w:hAnsi="Times New Roman" w:eastAsia="黑体"/>
          <w:b w:val="0"/>
          <w:sz w:val="36"/>
        </w:rPr>
        <w:t xml:space="preserve">二级学院院长：                    </w:t>
      </w:r>
    </w:p>
    <w:p>
      <w:pPr>
        <w:spacing w:line="594" w:lineRule="exact" w:before="480" w:after="0"/>
      </w:pPr>
      <w:r>
        <w:rPr>
          <w:rFonts w:ascii="Times New Roman" w:hAnsi="Times New Roman" w:eastAsia="黑体"/>
          <w:b w:val="0"/>
          <w:sz w:val="36"/>
        </w:rPr>
        <w:t>制订时间： 2026  年 8 月</w:t>
      </w:r>
    </w:p>
    <w:p>
      <w:pPr>
        <w:spacing w:line="594" w:lineRule="exact" w:before="0" w:after="0"/>
      </w:pPr>
      <w:r>
        <w:rPr>
          <w:rFonts w:ascii="Times New Roman" w:hAnsi="Times New Roman" w:eastAsia="方正仿宋_GBK"/>
          <w:b w:val="0"/>
          <w:sz w:val="32"/>
        </w:rPr>
      </w:r>
    </w:p>
    <w:p>
      <w:pPr>
        <w:spacing w:line="594" w:lineRule="exact" w:before="1920" w:after="0"/>
        <w:jc w:val="center"/>
      </w:pPr>
      <w:r>
        <w:rPr>
          <w:rFonts w:ascii="Times New Roman" w:hAnsi="Times New Roman" w:eastAsia="黑体"/>
          <w:b w:val="0"/>
          <w:sz w:val="32"/>
        </w:rPr>
        <w:t>重庆现代制造职业学院 编印</w:t>
      </w:r>
    </w:p>
    <w:p>
      <w:pPr>
        <w:sectPr>
          <w:pgSz w:w="11906" w:h="16838"/>
          <w:pgMar w:top="1411" w:right="1411" w:bottom="1411" w:left="1411" w:header="720" w:footer="720" w:gutter="0"/>
          <w:cols w:space="720"/>
          <w:docGrid w:linePitch="360"/>
        </w:sectPr>
      </w:pPr>
    </w:p>
    <w:p>
      <w:pPr>
        <w:spacing w:line="594" w:lineRule="exact" w:before="0" w:after="0"/>
        <w:jc w:val="center"/>
      </w:pPr>
      <w:r>
        <w:rPr>
          <w:rFonts w:ascii="Times New Roman" w:hAnsi="Times New Roman" w:eastAsia="黑体"/>
          <w:b/>
          <w:sz w:val="32"/>
        </w:rPr>
        <w:t>目  录</w:t>
      </w:r>
    </w:p>
    <w:p>
      <w:pPr>
        <w:tabs>
          <w:tab w:pos="9070" w:val="right" w:leader="dot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一、课程概述</w:t>
        <w:tab/>
        <w:t>1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（一）课程基本信息</w:t>
        <w:tab/>
        <w:t>1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（二）本课程与其他课程的关系</w:t>
        <w:tab/>
        <w:t>1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（三）课程性质与定位</w:t>
        <w:tab/>
        <w:t>2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（四）课程基本教学理念</w:t>
        <w:tab/>
        <w:t>2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（五）“岗课赛证创”五维融通</w:t>
        <w:tab/>
        <w:t>2</w:t>
      </w:r>
    </w:p>
    <w:p>
      <w:pPr>
        <w:tabs>
          <w:tab w:pos="9070" w:val="right" w:leader="dot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二、教学目标</w:t>
        <w:tab/>
        <w:t>4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（一）知识目标</w:t>
        <w:tab/>
        <w:t>4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（二）能力目标</w:t>
        <w:tab/>
        <w:t>4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（三）素质目标</w:t>
        <w:tab/>
        <w:t>5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（四）研究与创新</w:t>
        <w:tab/>
        <w:t>5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（五）可持续发展</w:t>
        <w:tab/>
        <w:t>5</w:t>
      </w:r>
    </w:p>
    <w:p>
      <w:pPr>
        <w:tabs>
          <w:tab w:pos="9070" w:val="right" w:leader="dot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三、教学内容</w:t>
        <w:tab/>
        <w:t>6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（一）教学方式</w:t>
        <w:tab/>
        <w:t>6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（二）教学任务与工作内容</w:t>
        <w:tab/>
        <w:t>6</w:t>
      </w:r>
    </w:p>
    <w:p>
      <w:pPr>
        <w:tabs>
          <w:tab w:pos="9070" w:val="right" w:leader="dot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四、课程实施保障条件</w:t>
        <w:tab/>
        <w:t>7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（一）实训（实习）条件</w:t>
        <w:tab/>
        <w:t>7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（二）教学团队</w:t>
        <w:tab/>
        <w:t>7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（三）学习资源</w:t>
        <w:tab/>
        <w:t>8</w:t>
      </w:r>
    </w:p>
    <w:p>
      <w:pPr>
        <w:tabs>
          <w:tab w:pos="9070" w:val="right" w:leader="dot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五、学习评价</w:t>
        <w:tab/>
        <w:t>8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（一）课程评价</w:t>
        <w:tab/>
        <w:t>8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（二）通过标准</w:t>
        <w:tab/>
        <w:t>8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（三）质量保障与持续改进</w:t>
        <w:tab/>
        <w:t>9</w:t>
      </w:r>
    </w:p>
    <w:p>
      <w:r>
        <w:br w:type="page"/>
      </w:r>
    </w:p>
    <w:p>
      <w:pPr>
        <w:spacing w:line="594" w:lineRule="exact" w:before="240" w:after="0"/>
      </w:pPr>
      <w:r>
        <w:rPr>
          <w:rFonts w:ascii="Times New Roman" w:hAnsi="Times New Roman" w:eastAsia="方正黑体_GBK"/>
          <w:b w:val="0"/>
          <w:sz w:val="32"/>
        </w:rPr>
        <w:t>一、课程概述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（一）课程基本信息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71"/>
        <w:gridCol w:w="2271"/>
        <w:gridCol w:w="2271"/>
        <w:gridCol w:w="2271"/>
      </w:tblGrid>
      <w:tr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课程代码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B46020102</w:t>
            </w:r>
          </w:p>
        </w:tc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开课学院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智能控制学院</w:t>
            </w:r>
          </w:p>
        </w:tc>
      </w:tr>
      <w:tr>
        <w:tc>
          <w:tcPr>
            <w:tcW w:type="dxa" w:w="245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课程名称</w:t>
            </w:r>
          </w:p>
        </w:tc>
        <w:tc>
          <w:tcPr>
            <w:tcW w:type="dxa" w:w="7250"/>
            <w:vAlign w:val="center"/>
            <w:gridSpan w:val="3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Python编程基础</w:t>
            </w:r>
          </w:p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</w:r>
          </w:p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</w:r>
          </w:p>
        </w:tc>
      </w:tr>
      <w:tr>
        <w:tc>
          <w:tcPr>
            <w:tcW w:type="dxa" w:w="245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面向的职业及岗位</w:t>
            </w:r>
          </w:p>
        </w:tc>
        <w:tc>
          <w:tcPr>
            <w:tcW w:type="dxa" w:w="7250"/>
            <w:vAlign w:val="center"/>
            <w:gridSpan w:val="3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工业数据采集技术员、边缘计算运维员、工业网络实施与运维工程师、工业互联网平台运维员</w:t>
            </w:r>
          </w:p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</w:r>
          </w:p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学分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3</w:t>
            </w:r>
          </w:p>
        </w:tc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总学时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48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理论学时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24</w:t>
            </w:r>
          </w:p>
        </w:tc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实习（训）学时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24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课时标准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每课时40分钟</w:t>
            </w:r>
          </w:p>
        </w:tc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开课时间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第1-12周（大一新生）</w:t>
            </w:r>
          </w:p>
        </w:tc>
      </w:tr>
    </w:tbl>
    <w:p>
      <w:pPr>
        <w:spacing w:line="594" w:lineRule="exact" w:before="0" w:after="0"/>
      </w:pPr>
      <w:r>
        <w:rPr>
          <w:rFonts w:ascii="Times New Roman" w:hAnsi="Times New Roman" w:eastAsia="方正仿宋_GBK"/>
          <w:b w:val="0"/>
          <w:sz w:val="32"/>
        </w:rPr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（二）本课程与其他课程的关系</w:t>
      </w:r>
    </w:p>
    <w:p>
      <w:pPr>
        <w:spacing w:line="594" w:lineRule="exact" w:before="0" w:after="0"/>
        <w:jc w:val="center"/>
      </w:pPr>
      <w:r>
        <w:rPr>
          <w:rFonts w:ascii="Times New Roman" w:hAnsi="Times New Roman" w:eastAsia="方正仿宋_GBK"/>
          <w:b w:val="0"/>
          <w:sz w:val="28"/>
        </w:rPr>
        <w:t>本课程与其它课程的关系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</w:tblGrid>
      <w:tr>
        <w:tc>
          <w:tcPr>
            <w:tcW w:type="dxa" w:w="110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序号</w:t>
            </w:r>
          </w:p>
        </w:tc>
        <w:tc>
          <w:tcPr>
            <w:tcW w:type="dxa" w:w="310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前续课程</w:t>
            </w:r>
          </w:p>
        </w:tc>
        <w:tc>
          <w:tcPr>
            <w:tcW w:type="dxa" w:w="6499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相互衔接和关联的知识点、技能点、软硬件工具、标准规范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1</w:t>
            </w:r>
          </w:p>
        </w:tc>
        <w:tc>
          <w:tcPr>
            <w:tcW w:type="dxa" w:w="3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计算机文化基础</w:t>
            </w:r>
          </w:p>
        </w:tc>
        <w:tc>
          <w:tcPr>
            <w:tcW w:type="dxa" w:w="64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计算机系统结构、操作系统、文件管理、网络基础概念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</w:t>
            </w:r>
          </w:p>
        </w:tc>
        <w:tc>
          <w:tcPr>
            <w:tcW w:type="dxa" w:w="3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数学基础</w:t>
            </w:r>
          </w:p>
        </w:tc>
        <w:tc>
          <w:tcPr>
            <w:tcW w:type="dxa" w:w="64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逻辑运算、集合论、统计学基础、线性代数初步</w:t>
            </w:r>
          </w:p>
        </w:tc>
      </w:tr>
      <w:tr>
        <w:tc>
          <w:tcPr>
            <w:tcW w:type="dxa" w:w="110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序号</w:t>
            </w:r>
          </w:p>
        </w:tc>
        <w:tc>
          <w:tcPr>
            <w:tcW w:type="dxa" w:w="310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后续课程</w:t>
            </w:r>
          </w:p>
        </w:tc>
        <w:tc>
          <w:tcPr>
            <w:tcW w:type="dxa" w:w="6499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相互衔接和关联的知识点、技能点、软硬件工具、标准规范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1</w:t>
            </w:r>
          </w:p>
        </w:tc>
        <w:tc>
          <w:tcPr>
            <w:tcW w:type="dxa" w:w="3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AI应用基础</w:t>
            </w:r>
          </w:p>
        </w:tc>
        <w:tc>
          <w:tcPr>
            <w:tcW w:type="dxa" w:w="64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知识点：NumPy数组、数据处理、数据规范化 / 技能点：特征工程、模型输入准备 / 库：scikit-learn、PyTorch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</w:t>
            </w:r>
          </w:p>
        </w:tc>
        <w:tc>
          <w:tcPr>
            <w:tcW w:type="dxa" w:w="3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计算机网络基础</w:t>
            </w:r>
          </w:p>
        </w:tc>
        <w:tc>
          <w:tcPr>
            <w:tcW w:type="dxa" w:w="64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知识点：Socket、HTTP、TCP/IP / 技能点：网络故障诊断 / 工具：Wireshark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3</w:t>
            </w:r>
          </w:p>
        </w:tc>
        <w:tc>
          <w:tcPr>
            <w:tcW w:type="dxa" w:w="3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工业互联网应用集成</w:t>
            </w:r>
          </w:p>
        </w:tc>
        <w:tc>
          <w:tcPr>
            <w:tcW w:type="dxa" w:w="64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系统集成、数据流程、ETL工程、完整数据管道构建</w:t>
            </w:r>
          </w:p>
        </w:tc>
      </w:tr>
    </w:tbl>
    <w:p>
      <w:pPr>
        <w:spacing w:line="594" w:lineRule="exact" w:before="0" w:after="0"/>
      </w:pPr>
      <w:r>
        <w:rPr>
          <w:rFonts w:ascii="Times New Roman" w:hAnsi="Times New Roman" w:eastAsia="方正仿宋_GBK"/>
          <w:b w:val="0"/>
          <w:sz w:val="32"/>
        </w:rPr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（三）课程性质与定位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本课程是工业互联网应用专业的核心基础课程，旨在培养面向零编程基础或基础薄弱大一新生的Python编程能力，特别是面向对象编程思想、第三方库应用和工业数据处理能力。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课程通过真实工业数据处理场景教学，强调项目驱动和动手实践，培养学生的工程化软件开发思想，为后续AI应用、网络编程等课程奠定基础。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（四）课程基本教学理念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1.项目驱动，真实场景：围绕工业数据采集、处理、展示的完整任务链设计课程。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2.理实一体，融合教学：课堂讲解与实训操作同步，理论在实践中验证。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3.循序渐进：基础语法→函数与模块→面向对象→第三方库应用。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4.代码规范，工程思维：重视PEP 8规范、注释文档等工程实践。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5.分层教学，因材施教：困难学生有补强，优秀学生有拓展（ABCD层师徒制）。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6.及时反馈，循环改进：每周反馈、中期诊断、末期复习。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（五）“岗课赛证创”五维融通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42"/>
        <w:gridCol w:w="4542"/>
      </w:tblGrid>
      <w:tr>
        <w:tc>
          <w:tcPr>
            <w:tcW w:type="dxa" w:w="210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维度</w:t>
            </w:r>
          </w:p>
        </w:tc>
        <w:tc>
          <w:tcPr>
            <w:tcW w:type="dxa" w:w="8799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对接内容与落地载体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岗（岗位）</w:t>
            </w:r>
          </w:p>
        </w:tc>
        <w:tc>
          <w:tcPr>
            <w:tcW w:type="dxa" w:w="87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对接工业数据采集技术员、边缘计算运维员、平台运维员岗——以精密制造事业部'台账→告警→采集→报表'岗位任务链为课程情境源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课（课程）</w:t>
            </w:r>
          </w:p>
        </w:tc>
        <w:tc>
          <w:tcPr>
            <w:tcW w:type="dxa" w:w="87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工单0.1-1.5加综合项目Z共12个任务即课程主线，统一挂接'重庆两江智造集团·精密制造事业部'连续剧情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赛（竞赛）</w:t>
            </w:r>
          </w:p>
        </w:tc>
        <w:tc>
          <w:tcPr>
            <w:tcW w:type="dxa" w:w="87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优秀层任务对标蓝桥杯Python程序设计组与省级程序设计赛；W12综合项目按竞赛评审制组织答辩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证（证书）</w:t>
            </w:r>
          </w:p>
        </w:tc>
        <w:tc>
          <w:tcPr>
            <w:tcW w:type="dxa" w:w="87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考核点覆盖1+X Python开发证书大纲与全国计算机等级考试二级Python考点（见下方证书对接细则）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创（创新）</w:t>
            </w:r>
          </w:p>
        </w:tc>
        <w:tc>
          <w:tcPr>
            <w:tcW w:type="dxa" w:w="87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词云故障分析、图像质检日报等小工具鼓励二次创新；入选作品入班级案例库与个人档案袋</w:t>
            </w:r>
          </w:p>
        </w:tc>
      </w:tr>
    </w:tbl>
    <w:p>
      <w:pPr>
        <w:spacing w:line="594" w:lineRule="exact" w:before="0" w:after="0"/>
      </w:pPr>
      <w:r>
        <w:rPr>
          <w:rFonts w:ascii="Times New Roman" w:hAnsi="Times New Roman" w:eastAsia="方正仿宋_GBK"/>
          <w:b w:val="0"/>
          <w:sz w:val="32"/>
        </w:rPr>
      </w:r>
    </w:p>
    <w:p>
      <w:pPr>
        <w:spacing w:line="594" w:lineRule="exact" w:before="0" w:after="0"/>
      </w:pPr>
      <w:r>
        <w:rPr>
          <w:rFonts w:ascii="Times New Roman" w:hAnsi="Times New Roman" w:eastAsia="黑体"/>
          <w:b/>
          <w:sz w:val="24"/>
        </w:rPr>
        <w:t>证书对接细则：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Python开发职业技能等级证书（工信部）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AI应用实践职业技能等级证书（工业互联网平台运维方向）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企业应用实施工程师证书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（六）课程思政设计（三融入）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总目标：工匠精神立码——规范命名、报错必究、版本可溯；做诚实的工程师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设计融入：12个工单情境取自车间真实痛点（夜班2号机95℃险情→安全生产红线；中台打回脏数据→数据诚信）；“两江智造”载体剧情传递一线劳动者尊严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环节融入：四步法“模仿”环节要求跟做不走样→标准意识；六步法“检查”环节同桌互查签字→质量共担；每周代码规范率递增目标→持续改进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流程融入：过程性评价80%引导重过程轻突击；组内贡献表如实填报→学术诚信；优秀流程图入班级案例库→劳动成果被尊重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案例映射：W6异常处理“摔了能爬起来还留案发记录”→责任留痕；W8数据清洗“还数据一个清白”→实事求是；W12答辩→工程交付的庄严感</w:t>
      </w:r>
    </w:p>
    <w:p>
      <w:pPr>
        <w:spacing w:line="594" w:lineRule="exact" w:before="240" w:after="0"/>
      </w:pPr>
      <w:r>
        <w:rPr>
          <w:rFonts w:ascii="Times New Roman" w:hAnsi="Times New Roman" w:eastAsia="方正黑体_GBK"/>
          <w:b w:val="0"/>
          <w:sz w:val="32"/>
        </w:rPr>
        <w:t>二、教学目标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（一）知识目标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1.Python语言基础：基本语法、数据类型、运算符与表达式；控制流逻辑；函数定义与调用。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2.面向对象编程：类、对象、属性、方法；继承、多态、封装。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3.数据结构与处理：列表、元组、字典、集合；字符串处理与正则表达式；JSON/CSV解析。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4.第三方库应用：jieba分词、wordcloud词云、Pillow图像处理、reportlab PDF生成。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5.文件操作与持久化：文件I/O、数据验证、异常处理、日志。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6.工业网络通信基础：TCP/IP、HTTP、MQTT、Modbus协议概念与Socket编程。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（二）能力目标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1.编程能力：独立编写200-800行规范代码；设计类并实现继承多态；第12周达到PEP 8规范率90%。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2.工具应用：使用jieba/wordcloud/Pillow/reportlab完成文本、图像与报告自动化。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3.数据处理：清洗、验证、转换工业数据；解析JSON/CSV；处理异常与缺失值。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4.问题求解：将实际问题转化为程序逻辑；调试排错；自主学习新知识。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5.工业应用：编写模拟工业数据采集程序；设计数据处理流程；生成数据分析报告。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（三）素质目标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1.职业素养：严谨的编码习惯与工匠精神；数据安全与隐私保护意识；工程伦理。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2.创新意识：第三方库创新应用；自主探索；面对复杂问题的分析与创新。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3.系统思维：对象设计思想；代码复用与模块化；全局观念。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（四）研究与创新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1.学生研究方向：工业数据采集创新方案、Python在轻量化应用中的创新、新型第三方库在工业中的应用探索。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2.创新成果形式：创新代码实现、创意项目设计、技术总结报告。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（五）可持续发展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1.绿色开发：高效代码意识，减少资源消耗，优化算法降低功耗。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2.数据安全与隐私：工业数据安全防护；了解GDPR等法规概念；负责任的数据处理态度。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3.长期学习：终身学习习惯；追踪Python生态；个人技术博客与知识积累。</w:t>
      </w:r>
    </w:p>
    <w:p>
      <w:pPr>
        <w:spacing w:line="594" w:lineRule="exact" w:before="240" w:after="0"/>
      </w:pPr>
      <w:r>
        <w:rPr>
          <w:rFonts w:ascii="Times New Roman" w:hAnsi="Times New Roman" w:eastAsia="方正黑体_GBK"/>
          <w:b w:val="0"/>
          <w:sz w:val="32"/>
        </w:rPr>
        <w:t>三、教学内容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（一）教学方式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每课时40分钟；每周4课时（160分钟，两次课）。“四步法筑基→六步法渐进”双轨制（面向零基础新生）：第1-6周采用“讲解—示范—模仿—练习”四步法（每课时40分钟=讲10分钟→演10分钟→模仿与练习20分钟）；第7-12周过渡到德国双元制完整六步法（“资讯·计划”以线上导学单课前完成，课堂聚焦决策→实施→检查→评价）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分层教学（A快速班/B常规班/C补强班）+及时反馈（工单24小时内反馈）；费曼学习法（ABCD层师徒制）；小步成功设计（每次课开课20分钟内人人产出可运行代码）。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（二）教学任务与工作内容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</w:tblGrid>
      <w:tr>
        <w:tc>
          <w:tcPr>
            <w:tcW w:type="dxa" w:w="260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模块/任务</w:t>
            </w:r>
          </w:p>
        </w:tc>
        <w:tc>
          <w:tcPr>
            <w:tcW w:type="dxa" w:w="190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周次·学时</w:t>
            </w:r>
          </w:p>
        </w:tc>
        <w:tc>
          <w:tcPr>
            <w:tcW w:type="dxa" w:w="6199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学习内容与工单项目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模块0 Python基础与面向对象</w:t>
              <w:br/>
              <w:t>任务0.1 环境与数据类型</w:t>
              <w:br/>
              <w:t>任务0.2 控制流与函数(告警系统)</w:t>
              <w:br/>
              <w:t>任务0.3 类与对象</w:t>
              <w:br/>
              <w:t>任务0.4 继承与多态</w:t>
              <w:br/>
              <w:t>任务0.5 异常处理与日志</w:t>
            </w:r>
          </w:p>
        </w:tc>
        <w:tc>
          <w:tcPr>
            <w:tcW w:type="dxa" w:w="19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第1-6周</w:t>
              <w:br/>
              <w:t>24课时(12理12实)</w:t>
            </w:r>
          </w:p>
        </w:tc>
        <w:tc>
          <w:tcPr>
            <w:tcW w:type="dxa" w:w="61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环境搭建、变量与数据类型；条件判断、循环与函数；设备类设计与继承体系；异常捕获与日志。工单：设备参数初始化、工业实时告警系统Ⅰ/Ⅱ、设备类设计、设备继承体系、健壮采集程序（各5%）。第6周中期诊断。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模块1 数据结构、第三方库与网络编程</w:t>
              <w:br/>
              <w:t>任务1.1 容器与正则</w:t>
              <w:br/>
              <w:t>任务1.2 文件I/O与JSON</w:t>
              <w:br/>
              <w:t>任务1.3 jieba与词云</w:t>
              <w:br/>
              <w:t>任务1.4 Pillow与reportlab</w:t>
              <w:br/>
              <w:t>任务1.5 网络编程与采集</w:t>
              <w:br/>
              <w:t>综合项目</w:t>
            </w:r>
          </w:p>
        </w:tc>
        <w:tc>
          <w:tcPr>
            <w:tcW w:type="dxa" w:w="19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第7-12周</w:t>
              <w:br/>
              <w:t>24课时(12理12实)</w:t>
            </w:r>
          </w:p>
        </w:tc>
        <w:tc>
          <w:tcPr>
            <w:tcW w:type="dxa" w:w="61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容器与正则解析；CSV/JSON清洗；故障分析词云报告；图像标注与PDF日报；Modbus+MQTT数据采集（本地虚拟产线离线环境）。工单：格式转换工具、文件处理系统、故障分析报告、图像与报告、数据采集系统（各5%）；第12周综合项目答辩（20%）。</w:t>
            </w:r>
          </w:p>
        </w:tc>
      </w:tr>
    </w:tbl>
    <w:p>
      <w:pPr>
        <w:spacing w:line="594" w:lineRule="exact" w:before="0" w:after="0"/>
      </w:pPr>
      <w:r>
        <w:rPr>
          <w:rFonts w:ascii="Times New Roman" w:hAnsi="Times New Roman" w:eastAsia="方正仿宋_GBK"/>
          <w:b w:val="0"/>
          <w:sz w:val="32"/>
        </w:rPr>
      </w:r>
    </w:p>
    <w:p>
      <w:pPr>
        <w:spacing w:line="594" w:lineRule="exact" w:before="240" w:after="0"/>
      </w:pPr>
      <w:r>
        <w:rPr>
          <w:rFonts w:ascii="Times New Roman" w:hAnsi="Times New Roman" w:eastAsia="方正黑体_GBK"/>
          <w:b w:val="0"/>
          <w:sz w:val="32"/>
        </w:rPr>
        <w:t>四、课程实施保障条件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（一）实训（实习）条件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1.软件开发实训室：30台以上计算机（i5/i7、8GB内存、256GB SSD），支持局域网通信。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2.软件环境：Python 3.8+、VS Code/PyCharm；jieba、wordcloud、Pillow、reportlab、paho-mqtt、pymodbus（离线whl包与中文字体随包提供）。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3.虚拟产线：纯Python本地Modbus模拟器（3台PLC）与MQTT代理，无需外网与Docker。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（二）教学团队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1.课程负责人1名（讲师及以上，3年以上Python开发经验）；主讲教师1-2名；实训指导教师1名。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2.教师素质：具有工业互联网应用背景或校企合作经验；能实时代码演示与问题排查。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3.教师发展：每年2次以上行业培训；每学年1次以上企业实践；发表教学改革论文或案例。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（三）学习资源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教学资源（已备）：48个授课PPT之24个（每2课时1个）、12个工单任务书与代码框架、Jupyter版实训手册、报错翻译对照表（人手一份）、虚拟产线模拟器（已实机验证）、必答题库（四类40题）、微课脚本与录课计划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2.参考资源（真实可用）：Python官方文档（docs.python.org，在线）；《Python编程从入门到精通》《Fluent Python》（图书馆配书）；廖雪峰Python教程等公开资源。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3.工业资源（依托校企合作落实）：企业导师评审（开课前聘任）、脱敏数据集（授权后启用，课内以模拟器数据替代）、虚拟产线工具（已随包）。</w:t>
      </w:r>
    </w:p>
    <w:p>
      <w:pPr>
        <w:spacing w:line="594" w:lineRule="exact" w:before="240" w:after="0"/>
      </w:pPr>
      <w:r>
        <w:rPr>
          <w:rFonts w:ascii="Times New Roman" w:hAnsi="Times New Roman" w:eastAsia="方正黑体_GBK"/>
          <w:b w:val="0"/>
          <w:sz w:val="32"/>
        </w:rPr>
        <w:t>五、学习评价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（一）课程评价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综合成绩=平时成绩（80%）+期末考试（20%）；平时成绩=出勤与表现（10%）+课中任务（20%）+工单任务（50%）。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出勤：无缺勤100分，迟到-5/次，旷课-20/次；课中任务与工单按基础分+加分项量化；期末为综合项目答辩。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代码规范率渐进目标：第1-3周≥70%、4-7周≥75-80%、8-10周≥85%、11-12周≥90%；工单采用D/C/B/A四级量表，24小时内反馈。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等级划分：A（优）90-100；B（优良）80-89；C（良）70-79；D（合格）60-69；E（不合格）&lt;60。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（二）通过标准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1.达到学习目标所列要求；缺课不超过10%（迟到早退3次视为缺课1次）。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2.工单任务完成度及格（D级）及以上；综合成绩60分及以上。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3.困难学生支持：第2-3周识别→第4周起补强计划（学习伙伴+每周2次答疑）→第6周中期诊断调整。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（三）质量保障与持续改进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课程质量监控三级闭环：学生评教（每课次）+ 督导/同行听课（每学期≥1次，指标含'授课计划完整规范''教学内容符合课程标准'）+ 毕业生/企业反馈（每年）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数据驱动的持续改进：过程性成绩与工单达标率按周分析，连续两次低于70%达标的任务触发教学策略调整并记录《课程诊改台账》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课程标准年度修订：结合1+X证书大纲更新与两江智造载体案例库迭代，每年暑期修订一次并经二级学院教学指导委员会审定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教学文件一致性核查：课程标准—授课计划表—教学方案—工单四层文件每学期开课前交叉校验（课时口径/考核权重/工单号全集）</w:t>
      </w:r>
    </w:p>
    <w:sectPr w:rsidR="00FC693F" w:rsidRPr="0006063C" w:rsidSect="00034616">
      <w:footerReference w:type="default" r:id="rId9"/>
      <w:pgSz w:w="11906" w:h="16838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8"/>
      </w:rPr>
      <w:t xml:space="preserve">- </w:t>
    </w:r>
    <w:r>
      <w:rPr>
        <w:rFonts w:ascii="Times New Roman" w:hAnsi="Times New Roman" w:eastAsia="宋体"/>
        <w:b w:val="0"/>
        <w:sz w:val="28"/>
      </w:rPr>
      <w:fldChar w:fldCharType="begin"/>
      <w:instrText xml:space="preserve"> PAGE \* MERGEFORMAT </w:instrText>
      <w:fldChar w:fldCharType="end"/>
    </w:r>
    <w:r>
      <w:rPr>
        <w:rFonts w:ascii="Times New Roman" w:hAnsi="Times New Roman" w:eastAsia="宋体"/>
        <w:b w:val="0"/>
        <w:sz w:val="28"/>
      </w:rPr>
      <w:t xml:space="preserve"> -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工业互联网专业《程序设计基础》课程标准</dc:title>
  <dc:subject>岗课赛证创+课程思政+质量保障闭环</dc:subject>
  <dc:creator>工业互联网应用专业教学资源库</dc:creator>
  <cp:keywords>两江智造;岗课赛证创;课程思政;质量保障;2025新标准对照</cp:keywords>
  <dc:description>generated by python-docx</dc:description>
  <cp:lastModifiedBy/>
  <cp:revision>1</cp:revision>
  <dcterms:created xsi:type="dcterms:W3CDTF">2026-08-27T00:00:00Z</dcterms:created>
  <dcterms:modified xsi:type="dcterms:W3CDTF">2026-08-27T00:00:00Z</dcterms:modified>
  <cp:category>高职高专教学文件</cp:category>
</cp:coreProperties>
</file>